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OrgWasV (Bayern)</w:t>
      </w:r>
    </w:p>
    <w:p>
      <w:r>
        <w:rPr>
          <w:color w:val="555555"/>
          <w:sz w:val="18"/>
        </w:rPr>
        <w:t xml:space="preserve">Verordnung über die Einrichtung und Organisation der staatlichen Behörden für die Wasserwirtschaft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 der Wasserwirtschaft werden in der Unterstufe von den Wasserwirtschaftsämtern wahrgenommen.</w:t>
      </w:r>
    </w:p>
    <w:p>
      <w:r>
        <w:t xml:space="preserve">(2) Bezeichnung, Amtssitz und Amtsbezirk der Wasserwirtschaftsämter sind in der Anlage festgelegt.</w:t>
      </w:r>
    </w:p>
    <w:p>
      <w:r>
        <w:t xml:space="preserve">(3) Das Staatsministerium für Umwelt und Verbraucherschutz kann im Amtsbezirk der in der Anlage aufgeführten Behörden diesen unterstehende örtliche Dienststellen einrichten und auflösen.</w:t>
      </w:r>
    </w:p>
    <w:p>
      <w:r>
        <w:t xml:space="preserve">(4) Das Staatsministerium für Umwelt und Verbraucherschutz kann folgende Aufgaben abweichend von der Anlage ganz oder teilweise auf andere Wasserwirtschaftsämter übertragen:</w:t>
      </w:r>
    </w:p>
    <w:p>
      <w:r>
        <w:t xml:space="preserve">1. Unterhaltungs- und Betriebsaufgaben für einzelne Gewässerabschnitte oder wasserwirtschaftliche Anlagen,</w:t>
      </w:r>
    </w:p>
    <w:p>
      <w:r>
        <w:t xml:space="preserve">2. einzelne Projekte und Maßnahmen sowie</w:t>
      </w:r>
    </w:p>
    <w:p>
      <w:r>
        <w:t xml:space="preserve">3. weitere Aufgaben, deren abweichende Zuordnung aus organisatorischen Gründen erforderlich erscheint.</w:t>
      </w:r>
    </w:p>
    <w:p>
      <w:r>
        <w:t xml:space="preserve">Abweichend von der Anlage nehmen die Wasserwirtschaftsämter Nürnberg und München zentrale Bewilligungs- und Kontrollaufgaben im Rahmen der EU-Kofinanzierung wahr.</w:t>
      </w:r>
    </w:p>
    <w:p>
      <w:r>
        <w:rPr>
          <w:color w:val="555555"/>
          <w:sz w:val="17"/>
        </w:rPr>
        <w:t xml:space="preserve">Zitiervorschlag: § 1 OrgWasV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https://recht.nulegal.eu/gesetze/OrgWasV/1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