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OrgHbMstrV</w:t>
      </w:r>
    </w:p>
    <w:p>
      <w:r>
        <w:rPr>
          <w:color w:val="555555"/>
          <w:sz w:val="18"/>
        </w:rPr>
        <w:t xml:space="preserve">Orgel- und Harmoniumbauermeisterverordnung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45 der Handwerksordnung in der Fassung der Bekanntmachung vom 28. Dezember 1965 (BGBl. 1966 I S. 1), der zuletzt durch Artikel 1 Nr. 63 des Gesetzes vom 20. Dezember 1993 (BGBl. I S. 2256) geändert worden ist, in Verbindung mit Artikel 56 Abs. 1 des Zuständigkeitsanpassungs-Gesetzes vom 18. März 1975 (BGBl. I S. 705) und dem Organisationserlaß vom 17. November 1994 (BGBl. I S. 3667) verordnet das Bundesministerium für Wirtschaft im Einvernehmen mit dem Bundesministerium für Bildung, Wissenschaft, Forschung und Technologie:</w:t>
      </w:r>
    </w:p>
    <w:p>
      <w:r>
        <w:rPr>
          <w:color w:val="555555"/>
          <w:sz w:val="17"/>
        </w:rPr>
        <w:t xml:space="preserve">Zitiervorschlag: Eingangsformel OrgHbMstrV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https://recht.nulegal.eu/gesetze/OrgHbMstrV/eingangsformel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