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OrgHbMstrV — Inkrafttreten</w:t>
      </w:r>
    </w:p>
    <w:p>
      <w:r>
        <w:rPr>
          <w:color w:val="555555"/>
          <w:sz w:val="18"/>
        </w:rPr>
        <w:t xml:space="preserve">Orgel- und Harmoniumbauermeisterverordnung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Oktober 1997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OrgHbMstrV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https://recht.nulegal.eu/gesetze/OrgHbMstrV/8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