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OrgHbMstrV — Übergangsvorschrift</w:t>
      </w:r>
    </w:p>
    <w:p>
      <w:r>
        <w:rPr>
          <w:color w:val="555555"/>
          <w:sz w:val="18"/>
        </w:rPr>
        <w:t xml:space="preserve">Orgel- und Harmoniumbauermeisterverordnung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Ein Prüfungsverfahren, das vor Ablauf des 13. Februar 2020 begonnen worden ist, ist nach den bis zum Ablauf dieses Tages geltenden Vorschriften durch den nach § 47 der Handwerksordnung errichteten Meisterprüfungsausschuss fortzuführen.</w:t>
      </w:r>
    </w:p>
    <w:p>
      <w:r>
        <w:rPr>
          <w:color w:val="555555"/>
          <w:sz w:val="17"/>
        </w:rPr>
        <w:t xml:space="preserve">Zitiervorschlag: § 6 OrgHbMstrV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https://recht.nulegal.eu/gesetze/OrgHbMstrV/6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