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OrgBauWoV (Bayern)</w:t>
      </w:r>
    </w:p>
    <w:p>
      <w:r>
        <w:rPr>
          <w:color w:val="555555"/>
          <w:sz w:val="18"/>
        </w:rPr>
        <w:t xml:space="preserve">Organisationsverordnung Bau- und Wohnungswesen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5. Dezember 2005</w:t>
      </w:r>
    </w:p>
    <w:p>
      <w:r>
        <w:t xml:space="preserve">Bayerisches Staatsministerium des Innern</w:t>
      </w:r>
    </w:p>
    <w:p>
      <w:r>
        <w:t xml:space="preserve">Dr. Günther Beckstein, Staatsminister</w:t>
      </w:r>
    </w:p>
    <w:p>
      <w:r>
        <w:rPr>
          <w:color w:val="555555"/>
          <w:sz w:val="17"/>
        </w:rPr>
        <w:t xml:space="preserve">Zitiervorschlag: Schlussformel OrgBauWoV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https://recht.nulegal.eu/gesetze/OrgBauWoV/schlussformel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