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OrgBauWoV (Bayern)</w:t>
      </w:r>
    </w:p>
    <w:p>
      <w:r>
        <w:rPr>
          <w:color w:val="555555"/>
          <w:sz w:val="18"/>
        </w:rPr>
        <w:t xml:space="preserve">Organisationsverordnung Bau- und Wohnungswesen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 des Gesetzes über die behördliche Organisation des Bauwesens, des Wohnungswesens und der Wasserwirtschaft (OrgBauWasG) in der Fassung der Bekanntmachung vom 5. Mai 1994 (GVBl S. 393, BayRS 200-25-I), geändert durch § 1 des Gesetzes vom 26. Juli 2005 (GVBl S. 287),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OrgBauWoV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https://recht.nulegal.eu/gesetze/OrgBauWoV/eingangsformel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