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OrgBauWoV (Bayern) — Inkrafttreten, Außerkrafttreten</w:t>
      </w:r>
    </w:p>
    <w:p>
      <w:r>
        <w:rPr>
          <w:color w:val="555555"/>
          <w:sz w:val="18"/>
        </w:rPr>
        <w:t xml:space="preserve">Organisationsverordnung Bau- und Wohnungswesen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2006 in Kraft.</w:t>
      </w:r>
    </w:p>
    <w:p>
      <w:r>
        <w:t xml:space="preserve">(2) § 3 Abs. 3 tritt mit Ablauf des 31. Dezember 2028 außer Kraft.</w:t>
      </w:r>
    </w:p>
    <w:p>
      <w:r>
        <w:rPr>
          <w:color w:val="555555"/>
          <w:sz w:val="17"/>
        </w:rPr>
        <w:t xml:space="preserve">Zitiervorschlag: § 4 OrgBauWoV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https://recht.nulegal.eu/gesetze/OrgBauWoV/4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