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OrgBauWoV (Bayern) — Unterstufe</w:t>
      </w:r>
    </w:p>
    <w:p>
      <w:r>
        <w:rPr>
          <w:color w:val="555555"/>
          <w:sz w:val="18"/>
        </w:rPr>
        <w:t xml:space="preserve">Organisationsverordnung Bau- und Wohnungswesen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staatlichen Aufgaben des Bauwesens und die übertragenen Bauaufgaben des Bundes werden in der Unterstufe von den Staatlichen Bauämtern wahrgenommen.</w:t>
      </w:r>
    </w:p>
    <w:p>
      <w:r>
        <w:t xml:space="preserve">(2) Bezeichnung, Amtssitz, Aufgabenbereich (Hochbau, Straßenbau) und Amtsbezirk der Staatlichen Bauämter sind in Anlage 1 zu dieser Verordnung festgelegt.</w:t>
      </w:r>
    </w:p>
    <w:p>
      <w:r>
        <w:rPr>
          <w:color w:val="555555"/>
          <w:sz w:val="17"/>
        </w:rPr>
        <w:t xml:space="preserve">Zitiervorschlag: § 2 OrgBauWoV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https://recht.nulegal.eu/gesetze/OrgBauWoV/2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