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OrgBAusbV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und auf Grund des § 25 Absatz 1 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