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OrgBAusbV — Mündliche Ergänzungsprüfung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 wenn</w:t>
      </w:r>
    </w:p>
    <w:p>
      <w:pPr>
        <w:ind w:left="420"/>
      </w:pPr>
      <w:r>
        <w:t xml:space="preserve">1. er für einen der folgenden Prüfungsbereiche gestellt worden ist:</w:t>
      </w:r>
    </w:p>
    <w:p>
      <w:pPr>
        <w:ind w:left="780"/>
      </w:pPr>
      <w:r>
        <w:t xml:space="preserve">a) „Planen und Konstruieren“ oder</w:t>
      </w:r>
    </w:p>
    <w:p>
      <w:pPr>
        <w:ind w:left="780"/>
      </w:pPr>
      <w:r>
        <w:t xml:space="preserve">b) „Wirtschafts- und Sozialkunde“,</w:t>
      </w:r>
    </w:p>
    <w:p>
      <w:pPr>
        <w:ind w:left="420"/>
      </w:pPr>
      <w:r>
        <w:t xml:space="preserve">2. der genannte Prüfungsbereich schlechter als mit „ausreichend“ bewertet worden ist und</w:t>
      </w:r>
    </w:p>
    <w:p>
      <w:pPr>
        <w:ind w:left="420"/>
      </w:pPr>
      <w:r>
        <w:t xml:space="preserve">3. die mündliche Ergänzungsprüfung für das Bestehen der Abschluss- oder Gesellenprüfung den Ausschlag geben kann.</w:t>
      </w:r>
    </w:p>
    <w:p>
      <w:r>
        <w:t xml:space="preserve">Die mündliche Ergänzungsprüfung darf nur in einem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24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