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OrgBAusbV — Gewichtung der Prüfungsbereiche und Anforderungen für das Bestehen der Abschluss- oder Gesellenprüfung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Die Bewertungen der einzelnen Prüfungsbereiche sind in der Fachrichtung Pfeifenbau wie folgt zu gewichten:</w:t>
      </w:r>
    </w:p>
    <w:p>
      <w:r>
        <w:rPr>
          <w:rFonts w:ascii="Courier New" w:hAnsi="Courier New"/>
          <w:sz w:val="17"/>
        </w:rPr>
        <w:t xml:space="preserve">Entwurf und Fertigung mit    40 Prozent,</w:t>
      </w:r>
    </w:p>
    <w:p>
      <w:r>
        <w:rPr>
          <w:rFonts w:ascii="Courier New" w:hAnsi="Courier New"/>
          <w:sz w:val="17"/>
        </w:rPr>
        <w:t xml:space="preserve">Durchführen von Teilarbeiten mit    20 Prozent,</w:t>
      </w:r>
    </w:p>
    <w:p>
      <w:r>
        <w:rPr>
          <w:rFonts w:ascii="Courier New" w:hAnsi="Courier New"/>
          <w:sz w:val="17"/>
        </w:rPr>
        <w:t xml:space="preserve">Planen und Konstruieren mit    30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4. (2) Die Abschluss- oder Gesellenprüfung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drei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rPr>
          <w:color w:val="555555"/>
          <w:sz w:val="17"/>
        </w:rPr>
        <w:t xml:space="preserve">Zitiervorschlag: § 23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