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OrgBAusbV — Prüfungsbereich Planen und Konstruieren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Im Prüfungsbereich Planen und Konstruieren hat der Prüfling nachzuweisen, dass er in der Lage ist,</w:t>
      </w:r>
    </w:p>
    <w:p>
      <w:pPr>
        <w:ind w:left="420"/>
      </w:pPr>
      <w:r>
        <w:t xml:space="preserve">1. Orgeln und Harmonien nach historischen Merkmalen zu bestimmen und Bauweisen zu unterscheiden,</w:t>
      </w:r>
    </w:p>
    <w:p>
      <w:pPr>
        <w:ind w:left="420"/>
      </w:pPr>
      <w:r>
        <w:t xml:space="preserve">2. physikalische Prinzipien beim Pfeifenbau zu berücksichtigen,</w:t>
      </w:r>
    </w:p>
    <w:p>
      <w:pPr>
        <w:ind w:left="420"/>
      </w:pPr>
      <w:r>
        <w:t xml:space="preserve">3. Werk- und Hilfsstoffe unter Berücksichtigung von Materialeigenschaften und Verwendungszweck auszuwählen und einzusetzen,</w:t>
      </w:r>
    </w:p>
    <w:p>
      <w:pPr>
        <w:ind w:left="420"/>
      </w:pPr>
      <w:r>
        <w:t xml:space="preserve">4. materialbezogene Berechnungen und Kalkulationen durchzuführen,</w:t>
      </w:r>
    </w:p>
    <w:p>
      <w:pPr>
        <w:ind w:left="420"/>
      </w:pPr>
      <w:r>
        <w:t xml:space="preserve">5. Fertigungsschritte unter Berücksichtigung von Produktqualität und Wirtschaftlichkeit zu planen und technische Unterlagen zu erstellen,</w:t>
      </w:r>
    </w:p>
    <w:p>
      <w:pPr>
        <w:ind w:left="420"/>
      </w:pPr>
      <w:r>
        <w:t xml:space="preserve">6. Werkzeuge, Geräte und Maschinen auszuwählen und unter Einhaltung der Arbeitssicherheit einzusetzen,</w:t>
      </w:r>
    </w:p>
    <w:p>
      <w:pPr>
        <w:ind w:left="420"/>
      </w:pPr>
      <w:r>
        <w:t xml:space="preserve">7. Verbindungstechniken auszuwählen und anzuwenden,</w:t>
      </w:r>
    </w:p>
    <w:p>
      <w:pPr>
        <w:ind w:left="420"/>
      </w:pPr>
      <w:r>
        <w:t xml:space="preserve">8. klangbeeinflussende Faktoren zu unterscheiden,</w:t>
      </w:r>
    </w:p>
    <w:p>
      <w:pPr>
        <w:ind w:left="420"/>
      </w:pPr>
      <w:r>
        <w:t xml:space="preserve">9. Verfahren der Oberflächenbehandlung unter Einhaltung des Gesundheits- und Umweltschutzes auszuwählen und anzuwenden,</w:t>
      </w:r>
    </w:p>
    <w:p>
      <w:pPr>
        <w:ind w:left="420"/>
      </w:pPr>
      <w:r>
        <w:t xml:space="preserve">10. Fehler und Störungen festzustellen, Ursachen zu ermitteln und Maßnahmen zur Behebung der Fehler und Störungen zu ergreifen sowie</w:t>
      </w:r>
    </w:p>
    <w:p>
      <w:pPr>
        <w:ind w:left="420"/>
      </w:pPr>
      <w:r>
        <w:t xml:space="preserve">11. Kundenanforderungen zu erfassen, Möglichkeiten zur Umsetzung der Kundenanforderungen zu ergreifen und Serviceleistungen anzubieten.</w:t>
      </w:r>
    </w:p>
    <w:p>
      <w:r>
        <w:t xml:space="preserve">(2) Der Prüfling hat Aufgaben schriftlich zu bearbeiten.</w:t>
      </w:r>
    </w:p>
    <w:p>
      <w:r>
        <w:t xml:space="preserve">(3) Die Prüfungszeit beträgt 240 Minuten.</w:t>
      </w:r>
    </w:p>
    <w:p>
      <w:r>
        <w:rPr>
          <w:color w:val="555555"/>
          <w:sz w:val="17"/>
        </w:rPr>
        <w:t xml:space="preserve">Zitiervorschlag: § 21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