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OrgBAusbV — Prüfungsbereich Durchführen von Teilarbeiten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Durchführen von Teilarbeiten hat der Prüfling nachzuweisen, dass er in der Lage ist,</w:t>
      </w:r>
    </w:p>
    <w:p>
      <w:pPr>
        <w:ind w:left="420"/>
      </w:pPr>
      <w:r>
        <w:t xml:space="preserve">1. Arbeitsschritte zu planen,</w:t>
      </w:r>
    </w:p>
    <w:p>
      <w:pPr>
        <w:ind w:left="420"/>
      </w:pPr>
      <w:r>
        <w:t xml:space="preserve">2. Werkzeuge auszuwählen und zu handhaben,</w:t>
      </w:r>
    </w:p>
    <w:p>
      <w:pPr>
        <w:ind w:left="420"/>
      </w:pPr>
      <w:r>
        <w:t xml:space="preserve">3. Werk- und Hilfsstoffe auszuwählen, zu bearbeiten und zu verarbeiten,</w:t>
      </w:r>
    </w:p>
    <w:p>
      <w:pPr>
        <w:ind w:left="420"/>
      </w:pPr>
      <w:r>
        <w:t xml:space="preserve">4. Verbindungstechniken auszuwählen und Verbindungen herzustellen,</w:t>
      </w:r>
    </w:p>
    <w:p>
      <w:pPr>
        <w:ind w:left="420"/>
      </w:pPr>
      <w:r>
        <w:t xml:space="preserve">5. Teilarbeiten zur Herstellung einer spielfertigen Orgel durchzuführen,</w:t>
      </w:r>
    </w:p>
    <w:p>
      <w:pPr>
        <w:ind w:left="420"/>
      </w:pPr>
      <w:r>
        <w:t xml:space="preserve">6. Stimmsysteme zu unterscheiden und gleichstufig temperierte Stimmung anzuwenden,</w:t>
      </w:r>
    </w:p>
    <w:p>
      <w:pPr>
        <w:ind w:left="420"/>
      </w:pPr>
      <w:r>
        <w:t xml:space="preserve">7. Maßnahmen zur Arbeitsorganisation, zur Sicherheit und zum Gesundheitsschutz bei der Arbeit, zum Umweltschutz, zur Kundenorientierung, zur Wirtschaftlichkeit und zur Qualitätssicherung zu berücksichtigen und</w:t>
      </w:r>
    </w:p>
    <w:p>
      <w:pPr>
        <w:ind w:left="420"/>
      </w:pPr>
      <w:r>
        <w:t xml:space="preserve">8. fachliche Hintergründe aufzuzeigen und die Vorgehensweise bei der Durchführung seiner Arbeiten zu begründen.</w:t>
      </w:r>
    </w:p>
    <w:p>
      <w:r>
        <w:t xml:space="preserve">(2) Für den Nachweis nach Absatz 1 sind zwei der folgenden Tätigkeiten zugrunde zu legen:</w:t>
      </w:r>
    </w:p>
    <w:p>
      <w:pPr>
        <w:ind w:left="420"/>
      </w:pPr>
      <w:r>
        <w:t xml:space="preserve">1. Legen einer gleichstufig temperierten Stimmung,</w:t>
      </w:r>
    </w:p>
    <w:p>
      <w:pPr>
        <w:ind w:left="420"/>
      </w:pPr>
      <w:r>
        <w:t xml:space="preserve">2. Einbauen und Verkabeln von Registerschaltungen,</w:t>
      </w:r>
    </w:p>
    <w:p>
      <w:pPr>
        <w:ind w:left="420"/>
      </w:pPr>
      <w:r>
        <w:t xml:space="preserve">3. Herstellen eines Rollventils und</w:t>
      </w:r>
    </w:p>
    <w:p>
      <w:pPr>
        <w:ind w:left="420"/>
      </w:pPr>
      <w:r>
        <w:t xml:space="preserve">4. Herstellen gezinkter Eckverbindungen.</w:t>
      </w:r>
    </w:p>
    <w:p>
      <w:r>
        <w:t xml:space="preserve">Der Prüfungsausschuss legt fest, welche beiden Tätigkeiten zugrunde gelegt werden.</w:t>
      </w:r>
    </w:p>
    <w:p>
      <w:r>
        <w:t xml:space="preserve">(3) Der Prüfling hat zu jeder der beiden festgelegten Tätigkeiten eine Arbeitsprobe durchzuführen. Während der Durchführung wird mit dem Prüfling ein situatives Fachgespräch zu jeder Arbeitsprobe geführt.</w:t>
      </w:r>
    </w:p>
    <w:p>
      <w:r>
        <w:t xml:space="preserve">(4) Die Prüfungszeit beträgt insgesamt sieben Stunden. Die beiden situativen Fachgespräche dauern zusammen höchstens zehn Minuten.</w:t>
      </w:r>
    </w:p>
    <w:p>
      <w:r>
        <w:rPr>
          <w:color w:val="555555"/>
          <w:sz w:val="17"/>
        </w:rPr>
        <w:t xml:space="preserve">Zitiervorschlag: § 13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