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OrgBAusbV — Prüfungsbereiche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 Abschluss- oder Gesellenprüfung findet in der Fachrichtung Orgelbau in den folgenden Prüfungsbereichen statt:</w:t>
      </w:r>
    </w:p>
    <w:p>
      <w:pPr>
        <w:ind w:left="420"/>
      </w:pPr>
      <w:r>
        <w:t xml:space="preserve">1. Entwurf und Fertigung,</w:t>
      </w:r>
    </w:p>
    <w:p>
      <w:pPr>
        <w:ind w:left="420"/>
      </w:pPr>
      <w:r>
        <w:t xml:space="preserve">2. Durchführen von Teilarbeiten,</w:t>
      </w:r>
    </w:p>
    <w:p>
      <w:pPr>
        <w:ind w:left="420"/>
      </w:pPr>
      <w:r>
        <w:t xml:space="preserve">3. Planen und Konstruieren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11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