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OrgAusbV</w:t>
      </w:r>
    </w:p>
    <w:p>
      <w:r>
        <w:rPr>
          <w:color w:val="555555"/>
          <w:sz w:val="18"/>
        </w:rPr>
        <w:t xml:space="preserve">Orgelbauer-Ausbildungsverordnung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Auf Grund des § 25 des Berufsbildungsgesetzes vom 14. August 1969 (BGBl. I S. 1112), der zuletzt durch § 24 Nr. 1 des Gesetzes vom 24. August 1976 (BGBl. I S. 2525) geändert worden ist, und auf Grund des § 25 der Handwerksordnung in der Fassung der Bekanntmachung vom 28. Dezember 1965 (BGBl. 1966 I S. 1), der zuletzt durch § 25 Nr. 1 des Gesetzes vom 24. August 1976 (BGBl. I S. 2525) geändert worden ist,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OrgAusbV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