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EV OrgAusbV — Auszug aus EinigVtr Anlage I Kapitel V Sachgebiet B Abschnitt III und Kapitel XVI Sachgebiet C Abschnitt III (BGBl. II 1990, 889, 998, 1135)</w:t>
      </w:r>
    </w:p>
    <w:p>
      <w:r>
        <w:rPr>
          <w:color w:val="555555"/>
          <w:sz w:val="18"/>
        </w:rPr>
        <w:t xml:space="preserve">Orgelbauer-Ausbildungsverordnung</w:t>
      </w:r>
    </w:p>
    <w:p>
      <w:r>
        <w:rPr>
          <w:color w:val="555555"/>
          <w:sz w:val="18"/>
        </w:rPr>
        <w:t xml:space="preserve">Historische Fassung: Stand 10.06.2019 bis 01.08.2019. Dies ist nicht die aktuelle Fassung.</w:t>
      </w:r>
    </w:p>
    <w:p>
      <w:r>
        <w:t xml:space="preserve">Bundesrecht tritt in dem in Artikel 3 des Vertrages genannten Gebiet mit folgenden Maßgaben in Kraft: - Kapitel V Sachgebiet B Abschnitt III -</w:t>
      </w:r>
    </w:p>
    <w:p>
      <w:pPr>
        <w:ind w:left="420"/>
      </w:pPr>
      <w:r>
        <w:t xml:space="preserve">1. Handwerksordnung in der Fassung der Bekanntmachung vom 28. Dezember 1965 (BGBl. 1966 I S. 1), zuletzt geändert durch Artikel 43 des Gesetzes vom 28. Juni 1990 (BGBl. I S. 1221), sowie die nach § 7 Abs. 2, §§ 25, 27a Abs. 1, § 40 und § 46 Abs. 3 Satz 3 der Handwerksordnung erlassenen Rechtsverordnungenmit folgenden Maßgaben:</w:t>
      </w:r>
    </w:p>
    <w:p>
      <w:pPr>
        <w:ind w:left="780"/>
      </w:pPr>
      <w:r>
        <w:t xml:space="preserve">a) Eine am Tage des Wirksamwerdens des Beitritts in dem in Artikel 3 des Vertrages genannten Gebiet bestehende Berechtigung,</w:t>
      </w:r>
    </w:p>
    <w:p>
      <w:pPr>
        <w:ind w:left="1140"/>
      </w:pPr>
      <w:r>
        <w:t xml:space="preserve">aa) ein Handwerk als stehendes Gewerbe selbständig zu betreiben,</w:t>
      </w:r>
    </w:p>
    <w:p>
      <w:pPr>
        <w:ind w:left="1140"/>
      </w:pPr>
      <w:r>
        <w:t xml:space="preserve">bb) zum Einstellen oder zur Ausbildung von Lehrlingen in Handwerksbetrieben oder</w:t>
      </w:r>
    </w:p>
    <w:p>
      <w:pPr>
        <w:ind w:left="1140"/>
      </w:pPr>
      <w:r>
        <w:t xml:space="preserve">cc) zur Führung des Meistertitels</w:t>
      </w:r>
    </w:p>
    <w:p>
      <w:pPr>
        <w:ind w:left="780"/>
      </w:pPr>
      <w:r>
        <w:t xml:space="preserve">bleibt bestehen.</w:t>
      </w:r>
    </w:p>
    <w:p>
      <w:pPr>
        <w:ind w:left="780"/>
      </w:pPr>
      <w:r>
        <w:t xml:space="preserve">b) Einkaufs- und Liefergenossenschaften und Arbeitsgemeinschaften der Produktionsgenossenschaften des Handwerks bleiben Mitglied der Handwerkskammer, soweit sie Mitglied der Handwerkskammer sind.</w:t>
      </w:r>
    </w:p>
    <w:p>
      <w:pPr>
        <w:ind w:left="780"/>
      </w:pPr>
      <w:r>
        <w:t xml:space="preserve">c) Gewerbetreibende, die am Tage des Wirksamwerdens des Beitritts in dem in Artikel 3 des Vertrages genannten Gebiet berechtigt sind, ein Handwerk als stehendes Gewerbe selbständig zu betreiben, werden auf Antrag oder von Amts wegen mit dem Handwerk der Anlage A der Handwerksordnung in die Handwerksrolle eingetragen, das dem bisherigen Handwerk zugeordnet werden kann. Führen solche Gewerbetreibende rechtmäßig den Titel Meister des Handwerks, sind sie berechtigt, den Meistertitel des Handwerks der Anlage A der Handwerksordnung zu führen.</w:t>
      </w:r>
    </w:p>
    <w:p>
      <w:pPr>
        <w:ind w:left="780"/>
      </w:pPr>
      <w:r>
        <w:t xml:space="preserve">d) Gewerbetreibende, die am Tage des Wirksamwerdens des Beitritts in dem in Artikel 3 des Vertrages genannten Gebiet selbständig ein stehendes Gewerbe betreiben, das dort nicht als Handwerk eingestuft, jedoch in der Anlage A der Handwerksordnung als Handwerk aufgeführt ist, werden auf Antrag oder von Amts wegen mit diesem Handwerk in die Handwerksrolle eingetragen.</w:t>
      </w:r>
    </w:p>
    <w:p>
      <w:pPr>
        <w:ind w:left="780"/>
      </w:pPr>
      <w:r>
        <w:t xml:space="preserve">e) Buchstabe c) Satz 1 findet auf Gewerbetreibende, die ein handwerksähnliches Gewerbe betreiben, entsprechende Anwendung.</w:t>
      </w:r>
    </w:p>
    <w:p>
      <w:pPr>
        <w:ind w:left="780"/>
      </w:pPr>
      <w:r>
        <w:t xml:space="preserve">f) Die am Tage des Wirksamwerdens des Beitritts in dem in Artikel 3 des Vertrages genannten Gebiet bestehenden Organisationen des Handwerks sind bis 31. Dezember 1991 den Bestimmungen der Handwerksordnung entsprechend anzupassen; bis dahin gelten sie als Organisationen im Sinne der Handwerksordnung. Dasselbe gilt für die bestehenden Facharbeiter- und Meisterprüfungskommissionen; bis zum 31. Dezember 1991 gelten sie als Prüfungsausschüsse im Sinne der Handwerksordnung. Die Handwerkskammern haben unverzüglich, spätestens jedoch bis zum 31. Dezember 1991, die Voraussetzungen für die Beteiligung der Gesellen entsprechend den Bestimmungen der Handwerksordnung zu schaffen.</w:t>
      </w:r>
    </w:p>
    <w:p>
      <w:pPr>
        <w:ind w:left="780"/>
      </w:pPr>
      <w:r>
        <w:t xml:space="preserve">g) Am Tage des Wirksamwerdens des Beitritts bestehende Lehrverhältnisse werden nach den bisherigen Vorschriften zu Ende geführt, es sei denn, die Parteien des Lehrvertrages vereinbaren die Fortsetzung der Berufsausbildung in einem Handwerk der Anlage A der Handwerksordnung.</w:t>
      </w:r>
    </w:p>
    <w:p>
      <w:pPr>
        <w:ind w:left="780"/>
      </w:pPr>
      <w:r>
        <w:t xml:space="preserve">h) Lehrlinge, die ihre Berufsausbildung nach bisherigem Recht durchlaufen, werden nach den bisherigen Rechtsvorschriften geprüft, soweit nicht der Bundesminister für Wirtschaft im Einvernehmen mit dem Bundesminister für Bildung und Wissenschaft durch Rechtsverordnung, die nicht der Zustimmung des Bundesrates bedarf, Übergangsvorschriften für Verfahren und Zuständigkeit erläßt.</w:t>
      </w:r>
    </w:p>
    <w:p>
      <w:pPr>
        <w:ind w:left="780"/>
      </w:pPr>
      <w:r>
        <w:t xml:space="preserve">i) Die am Tage des Wirksamwerdens des Beitritts laufenden Prüfungsverfahren werden nach den bisherigen Vorschriften zu Ende geführt.</w:t>
      </w:r>
    </w:p>
    <w:p>
      <w:pPr>
        <w:ind w:left="780"/>
      </w:pPr>
      <w:r>
        <w:t xml:space="preserve">k) Die Handwerkskammern können bis zum 1. Dezember 1995 Ausnahmen von den nach § 25 der Handwerksordnung erlassenen Rechtsverordnungen zulassen, wenn die gesetzten Anforderungen noch nicht erfüllt werden können. Die Ausnahmen sind zu befristen. Der Bundesminister für Wirtschaft kann im Einvernehmen mit dem Bundesminister für Bildung und Wissenschaft durch Rechtsverordnung, die nicht der Zustimmung des Bundesrates bedarf, die Befugnis nach Satz 1 einschränken oder aufheben.</w:t>
      </w:r>
    </w:p>
    <w:p>
      <w:pPr>
        <w:ind w:left="780"/>
      </w:pPr>
      <w:r>
        <w:t xml:space="preserve">l) Die Rechtsverordnungen nach § 27a Abs. 1 und § 40 der Handwerksordnung bedürfen der gesonderten Inkraftsetzung durch den Bundesminister für Wirtschaft im Einvernehmen mit dem Bundesminister für Bildung und Wissenschaft durch Rechtsverordnung, die nicht der Zustimmung des Bundesrates bedarf.</w:t>
      </w:r>
    </w:p>
    <w:p>
      <w:pPr>
        <w:ind w:left="780"/>
      </w:pPr>
      <w:r>
        <w:t xml:space="preserve">m) Der Bundesminister für Wirtschaft bestimmt durch Rechtsverordnung nach § 46 Abs. 3 der Handwerksordnung, welche Prüfungen an Ausbildungseinrichtungen der Nationalen Volksarmee nach Maßgabe des § 3 Abs. 2 der Verordnung über die Anerkennung von Prüfungen bei der Eintragung in die Handwerksrolle und bei der Ablegung der Meisterprüfung im Handwerk vom 2. November 1982 (BGBl. I S. 1475) als Voraussetzung für die Befreiung von Teil II der Meisterprüfung im Handwerk anerkannt werden.</w:t>
      </w:r>
    </w:p>
    <w:p>
      <w:pPr>
        <w:ind w:left="780"/>
      </w:pPr>
      <w:r>
        <w:t xml:space="preserve">n) Der Bundesminister für Wirtschaft kann durch Rechtsverordnung nach § 7 Abs. 2 der Handwerksordnung bestimmen, welche Prüfungen von Meistern der volkseigenen Industrie, die bis zum 31. Dezember 1991 abgelegt worden sind, mit welcher Maßgabe als ausreichende Voraussetzung für die Eintragung in die Handwerksrolle anerkannt werden.</w:t>
      </w:r>
    </w:p>
    <w:p>
      <w:pPr>
        <w:ind w:left="780"/>
      </w:pPr>
      <w:r>
        <w:t xml:space="preserve">o) Prüfungszeugnisse nach der Systematik der Ausbildungsberufe sowie der Systematik der Facharbeiterberufe in Handwerksberufen aus dem in Artikel 3 des Vertrages genannten Gebiet stehen Gesellenprüfungszeugnisse nach § 31 Abs. 2 der Handwerksordnung gleich.</w:t>
      </w:r>
    </w:p>
    <w:p>
      <w:r>
        <w:t xml:space="preserve">- Kapitel XVI Sachgebiet C Abschnitt III -</w:t>
      </w:r>
    </w:p>
    <w:p>
      <w:pPr>
        <w:ind w:left="420"/>
      </w:pPr>
      <w:r>
        <w:t xml:space="preserve">1. Berufsbildungsgesetz vom 14. August 1969 (BGBl. I S. 1112), zuletzt geändert durch § 19 des Gesetzes vom 23. Dezember 1981 (BGBl. I S. 1692), und auf Grund § 21 Abs. 1 und 2, §§ 25, 29 Abs. 1, § 43 Abs. 1 und 2, § 46 Abs. 2, § 47 Abs. 3, § 76 Abs. 2, § 77 Abs. 5, § 80 Abs. 2, § 81 Abs. 4, § 82 Abs. 2, §§ 93, 95 Abs. 4, § 96 Abs. 2 erlassene Rechtsverordnungenmit folgenden Maßgaben:</w:t>
      </w:r>
    </w:p>
    <w:p>
      <w:pPr>
        <w:ind w:left="780"/>
      </w:pPr>
      <w:r>
        <w:t xml:space="preserve">a) Rechtsverordnungen nach § 21 Abs. 1 des Gesetzes bedürfen der gesonderten Inkraftsetzung durch den Bundesminister für Bildung und Wissenschaft durch Rechtsverordnung, die nicht der Zustimmung des Bundesrates bedarf. Rechtsverordnungen nach § 29 Abs. 1 und § 43 des Gesetzes bedürfen der gesonderten Inkraftsetzung durch den Bundesminister für Wirtschaft oder den sonst zuständigen Fachminister im Einvernehmen mit dem Bundesminister für Bildung und Wissenschaft durch Rechtsverordnung, die nicht der Zustimmung des Bundesrates bedarf.</w:t>
      </w:r>
    </w:p>
    <w:p>
      <w:pPr>
        <w:ind w:left="780"/>
      </w:pPr>
      <w:r>
        <w:t xml:space="preserve">b) Die zuständige Stelle kann bis zum 31. Dezember 1995 Ausnahmen von den Ausbildungsverordnungen nach § 25 des Gesetzes zulassen, wenn die durch technische Regeln gesetzten Anforderungen noch nicht erfüllt werden können. Die Ausnahmen sind zu befristen. Der Bundesminister für Wirtschaft oder der sonst zuständige Fachminister kann im Einvernehmen mit dem Bundesminister für Bildung und Wissenschaft durch Rechtsverordnung, die nicht der Zustimmung des Bundesrates bedarf, die Befugnis nach Satz 1 einschränken oder aufheben.</w:t>
      </w:r>
    </w:p>
    <w:p>
      <w:pPr>
        <w:ind w:left="780"/>
      </w:pPr>
      <w:r>
        <w:t xml:space="preserve">c) Die Regelungen in Ausbildungsverordnungen nach § 25 des Gesetzes über die Ausbildung in überbetrieblichen Ausbildungsstätten (§ 27 des Gesetzes) werden nicht angewendet, wenn die zuständige Stelle feststellt, daß eine solche Ausbildung nicht möglich ist.</w:t>
      </w:r>
    </w:p>
    <w:p>
      <w:pPr>
        <w:ind w:left="780"/>
      </w:pPr>
      <w:r>
        <w:t xml:space="preserve">d) Bei Inkrafttreten des Gesetzes über die Inkraftsetzung des Berufsbildungsgesetzes der Bundesrepublik Deutschland in der Deutschen Demokratischen Republik - IGBBiG - vom 19. Juli 1990 (GBl. I Nr. 50 S. 907) bestehende Ausbildungsverhältnisse werden nach den neuen Vorschriften zu Ende geführt, es sei denn, daß eine Ausbildung nach den neuen Vorschriften nicht möglich ist oder der Lehrling eine Fortsetzung nach den bisherigen Vorschriften ausdrücklich wünscht. Sofern die Beendigung des Lehrverhältnisses nach den neuen Ausbildungsverordnungen im bisherigen Betrieb nicht möglich ist, sind das zuständige Arbeitsamt und die zuständige Stelle verpflichtet, den Lehrling zu unterstützen, einen neuen Ausbildungsbetrieb zu finden, der die Ausbildung nach den neuen Ausbildungsverordnungen fortsetzt.</w:t>
      </w:r>
    </w:p>
    <w:p>
      <w:pPr>
        <w:ind w:left="780"/>
      </w:pPr>
      <w:r>
        <w:t xml:space="preserve">e) Die Ausbildungszeit soll nach § 29 Abs. 3 des Gesetzes verlängert werden, soweit eine Berufsausbildung mit Abitur durchgeführt wird.</w:t>
      </w:r>
    </w:p>
    <w:p>
      <w:pPr>
        <w:ind w:left="780"/>
      </w:pPr>
      <w:r>
        <w:t xml:space="preserve">f) Die Anwendung der §§ 76, 77, 80 bis 82, 86, 88, 90, 92 bis 96 des Gesetzes und der auf Grund dieser Bestimmungen erlassenen Verordnungen bestimmt der Bundesminister für Wirtschaft oder der sonst zuständige Fachminister im Einvernehmen mit dem Bundesminister für Bildung und Wissenschaft durch Rechtsverordnung, die nicht der Zustimmung des Bundesrates bedarf.</w:t>
      </w:r>
    </w:p>
    <w:p>
      <w:pPr>
        <w:ind w:left="780"/>
      </w:pPr>
      <w:r>
        <w:t xml:space="preserve">g) Die Betriebe sind verpflichtet, die praktische Berufsausbildung zweckentsprechend aufrecht zu erhalten, soweit dies zur Erfüllung von Lehrverträgen erforderlich ist, die vor Inkrafttreten des Gesetzes über die Inkraftsetzung des Berufsbildungsgesetzes der Bundesrepublik Deutschland in der Deutschen Demokratischen Republik - JGBBiG - vom 19. Juli 1990 (GBl. I Nr. 50 S. 907) abgeschlossen worden sind. Für Betriebsakademien und andere der beruflichen Bildung dienende Einrichtungen ist dies mindestens bis zum 31. Dezember 1990 zu gewährleisten. Auf Antrag der Handwerkskammern und der Industrie- und Handelskammern ist durch die Betriebe zu prüfen, inwieweit vorhandene Kapazitäten der praktischen Berufsausbildung (insbesondere Lehrwerkstätten) als überbetriebliche Ausbildungsstätten genutzt werden oder als Treuhandvermögen an die vorgenannten Kammern zur Nutzung übertragen werden können.</w:t>
      </w:r>
    </w:p>
    <w:p>
      <w:pPr>
        <w:ind w:left="780"/>
      </w:pPr>
      <w:r>
        <w:t xml:space="preserve">h) Solange die in §§ 79, 87, 89 und 91 des Gesetzes genannten zuständigen Stellen nicht bestehen, bestimmt das Land die zuständige Stelle.</w:t>
      </w:r>
    </w:p>
    <w:p>
      <w:pPr>
        <w:ind w:left="780"/>
      </w:pPr>
      <w:r>
        <w:t xml:space="preserve">i) Lehrlinge, die gemäß der Systematik der Facharbeiterberufe ausgebildet werden, werden nach den bisherigen Rechtsvorschriften geprüft, soweit nicht der Bundesminister für Wirtschaft oder der sonst zuständige Fachminister im Einvernehmen mit dem Bundesminister für Bildung und Wissenschaft durch Rechtsverordnung, die nicht der Zustimmung des Bundesrates bedarf, Übergangsvorschriften für Verfahren und Zuständigkeiten erläßt.</w:t>
      </w:r>
    </w:p>
    <w:p>
      <w:pPr>
        <w:ind w:left="780"/>
      </w:pPr>
      <w:r>
        <w:t xml:space="preserve">k) Die am Tage des Wirksamwerdens des Beitritts laufenden Prüfungsverfahren in der beruflichen Fortbildung und beruflichen Umschulung werden nach den bisherigen Vorschriften zu Ende geführt.</w:t>
      </w:r>
    </w:p>
    <w:p>
      <w:r>
        <w:rPr>
          <w:color w:val="555555"/>
          <w:sz w:val="17"/>
        </w:rPr>
        <w:t xml:space="preserve">Zitiervorschlag: Anhang EV OrgAusbV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https://recht.nulegal.eu/gesetze/OrgAusbV/anhang-ev</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