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OrgAusbV — Berlin-Klausel</w:t>
      </w:r>
    </w:p>
    <w:p>
      <w:r>
        <w:rPr>
          <w:color w:val="555555"/>
          <w:sz w:val="18"/>
        </w:rPr>
        <w:t xml:space="preserve">Orgelbauer-Ausbildungsverordnung</w:t>
      </w:r>
    </w:p>
    <w:p>
      <w:r>
        <w:rPr>
          <w:color w:val="555555"/>
          <w:sz w:val="18"/>
        </w:rPr>
        <w:t xml:space="preserve">Historische Fassung: Stand 10.06.2019 bis 01.08.2019. Dies ist nicht die aktuelle Fassung.</w:t>
      </w:r>
    </w:p>
    <w:p>
      <w:r>
        <w:t xml:space="preserve">Diese Verordnung gilt nach § 14 des Dritten Überleitungsgesetzes in Verbindung mit § 112 des Berufsbildungsgesetzes und § 128 der Handwerksordnung auch im Land Berlin.</w:t>
      </w:r>
    </w:p>
    <w:p>
      <w:r>
        <w:rPr>
          <w:color w:val="555555"/>
          <w:sz w:val="17"/>
        </w:rPr>
        <w:t xml:space="preserve">Zitiervorschlag: § 12 OrgAusbV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