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OrgAusbV — Anwendungsbereich</w:t>
      </w:r>
    </w:p>
    <w:p>
      <w:r>
        <w:rPr>
          <w:color w:val="555555"/>
          <w:sz w:val="18"/>
        </w:rPr>
        <w:t xml:space="preserve">Orgelbauer-Ausbildungsverordnung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Diese Verordnung gilt für die Berufsausbildung in dem Ausbildungsberuf Orgel- und Harmoniumbauer/Orgel- und Harmoniumbauerin nach der Handwerksordnung und für die Berufsausbildung in dem nach § 2 anerkannten Ausbildungsberuf.</w:t>
      </w:r>
    </w:p>
    <w:p>
      <w:r>
        <w:rPr>
          <w:color w:val="555555"/>
          <w:sz w:val="17"/>
        </w:rPr>
        <w:t xml:space="preserve">Zitiervorschlag: § 1 OrgAusbV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