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OrdenNachwV — Prüfung des Antrags</w:t>
      </w:r>
    </w:p>
    <w:p>
      <w:r>
        <w:rPr>
          <w:color w:val="555555"/>
          <w:sz w:val="18"/>
        </w:rPr>
        <w:t xml:space="preserve">Verordnung über den Besitznachweis für Orden und Ehrenzeichen und den Nachweis von Verwundungen und Beschädigungen</w:t>
      </w:r>
    </w:p>
    <w:p>
      <w:r>
        <w:rPr>
          <w:color w:val="555555"/>
          <w:sz w:val="18"/>
        </w:rPr>
        <w:t xml:space="preserve">Stand: 01.07.2020 (konsolidierte Textfassung, kein amtliches Inkrafttretensdatum)</w:t>
      </w:r>
    </w:p>
    <w:p>
      <w:r>
        <w:t xml:space="preserve">(1) Die für die Ausstellung der Ersatzurkunde zuständige Behörde leitet eine Ausfertigung des Antrags wie folgt weiter:</w:t>
      </w:r>
    </w:p>
    <w:p>
      <w:pPr>
        <w:ind w:left="420"/>
      </w:pPr>
      <w:r>
        <w:t xml:space="preserve">1. bei Kriegsauszeichnungen des Zweiten Weltkrieges</w:t>
      </w:r>
    </w:p>
    <w:p>
      <w:pPr>
        <w:ind w:left="780"/>
      </w:pPr>
      <w:r>
        <w:t xml:space="preserve">a) von Angehörigen der früheren Kriegsmarine: an das Bundesarchiv;</w:t>
      </w:r>
    </w:p>
    <w:p>
      <w:pPr>
        <w:ind w:left="780"/>
      </w:pPr>
      <w:r>
        <w:t xml:space="preserve">b) von Angehörigen der früheren Wehrmacht (mit Ausnahme der Kriegsmarine), des Volkssturms im Einsatz, der Waffen-SS, des Reichsarbeitsdienstes und der Organisation Todt: an das Bundesarchiv;</w:t>
      </w:r>
    </w:p>
    <w:p>
      <w:pPr>
        <w:ind w:left="780"/>
      </w:pPr>
      <w:r>
        <w:t xml:space="preserve">c) von Angehörigen der früheren Polizei: an das Bundesarchiv;</w:t>
      </w:r>
    </w:p>
    <w:p>
      <w:pPr>
        <w:ind w:left="780"/>
      </w:pPr>
      <w:r>
        <w:t xml:space="preserve">d) von Personen, die im zivilen öffentlichen Dienst gestanden haben: an die Behörden oder öffentlichen Archive, denen die Personalakten des Antragstellers oder einschlägige Listen und Akten über die Verleihung von Orden und Ehrenzeichen zur Verfügung stehen;</w:t>
      </w:r>
    </w:p>
    <w:p>
      <w:pPr>
        <w:ind w:left="420"/>
      </w:pPr>
      <w:r>
        <w:t xml:space="preserve">2. bei nichtmilitärischen Auszeichnungen</w:t>
      </w:r>
    </w:p>
    <w:p>
      <w:pPr>
        <w:ind w:left="780"/>
      </w:pPr>
      <w:r>
        <w:t xml:space="preserve">a) von Personen, die im öffentlichen Dienst gestanden haben: an die Behörden oder öffentlichen Archive, denen die Personalakten des Antragstellers oder einschlägige Listen oder Akten über die Verleihung von Orden und Ehrenzeichen zur Verfügung stehen;</w:t>
      </w:r>
    </w:p>
    <w:p>
      <w:pPr>
        <w:ind w:left="780"/>
      </w:pPr>
      <w:r>
        <w:t xml:space="preserve">b) im Übrigen: an die Behörden oder öffentlichen Archive, denen einschlägige Listen oder Akten über die Verleihung von Orden und Ehrenzeichen zur Verfügung stehen.</w:t>
      </w:r>
    </w:p>
    <w:p>
      <w:r>
        <w:t xml:space="preserve">(2) Der nach § 3 Abs. 3 zuständige Disziplinarvorgesetzte leitet eine Ausfertigung des Antrags von Soldaten an den Bundesminister der Verteidigung, von Beamten in der Bundespolizei an den Bundesminister des Innern, für Bau und Heimat weiter.</w:t>
      </w:r>
    </w:p>
    <w:p>
      <w:r>
        <w:t xml:space="preserve">(3) Sind bei der Stelle, der nach den Absätzen 1 und 2 eine Ausfertigung des Antrags zugeleitet wurde, Unterlagen über die in dem Antrag bezeichnete Auszeichnung nicht vorhanden, ist ihr jedoch bekannt, daß einer anderen in den Absätzen 1 und 2 genannten Stelle solche Unterlagen zur Verfügung stehen, so leitet sie die Ausfertigung des Antrags an diese Stelle weiter.</w:t>
      </w:r>
    </w:p>
    <w:p>
      <w:r>
        <w:t xml:space="preserve">(4) Die Weiterleitung einer Ausfertigung des Antrags entfällt, wenn feststeht, daß die Voraussetzungen für die Ausstellung einer Ersatzurkunde, einer Bescheinigung im Sinne des § 1 Abs. 1 Buchstabe a oder einer Zweitausfertigung nicht vorliegen.</w:t>
      </w:r>
    </w:p>
    <w:p>
      <w:r>
        <w:t xml:space="preserve">(5) Kommt die Weiterleitung einer Ausfertigung des Antrags nicht in Betracht, so ist nach § 8 Abs. 2 oder nach § 9 zu verfahren.</w:t>
      </w:r>
    </w:p>
    <w:p>
      <w:r>
        <w:rPr>
          <w:color w:val="555555"/>
          <w:sz w:val="17"/>
        </w:rPr>
        <w:t xml:space="preserve">Zitiervorschlag: § 5 OrdenNachwV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https://recht.nulegal.eu/gesetze/OrdenNachwV/5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