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OrdenNachwV — Einziehung</w:t>
      </w:r>
    </w:p>
    <w:p>
      <w:r>
        <w:rPr>
          <w:color w:val="555555"/>
          <w:sz w:val="18"/>
        </w:rPr>
        <w:t xml:space="preserve">Verordnung über den Besitznachweis für Orden und Ehrenzeichen und den Nachweis von Verwundungen und Beschädigungen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Bescheinigungen nach § 1 Abs. 1, Ersatzurkunden nach § 10 und Berechtigungsausweise nach § 19 dieser Verordnung sind einzuziehen, wenn sich nachträglich herausstellt, daß die Voraussetzungen für ihre Ausstellung nicht vorgelegen haben.</w:t>
      </w:r>
    </w:p>
    <w:p>
      <w:r>
        <w:t xml:space="preserve">(2) Die Einziehung erfolgt im Wege des Verwaltungszwangsverfahrens.</w:t>
      </w:r>
    </w:p>
    <w:p>
      <w:r>
        <w:rPr>
          <w:color w:val="555555"/>
          <w:sz w:val="17"/>
        </w:rPr>
        <w:t xml:space="preserve">Zitiervorschlag: § 21 OrdenNachwV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https://recht.nulegal.eu/gesetze/OrdenNachwV/21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