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OrdenNachwV — Ausstellung eines Berechtigungsausweises</w:t>
      </w:r>
    </w:p>
    <w:p>
      <w:r>
        <w:rPr>
          <w:color w:val="555555"/>
          <w:sz w:val="18"/>
        </w:rPr>
        <w:t xml:space="preserve">Verordnung über den Besitznachweis für Orden und Ehrenzeichen und den Nachweis von Verwundungen und Beschädigungen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Berechtigungsausweis (§ 13) ist von der zuständigen Behörde (§ 14) für die Stufe auszustellen, in der der Antragsteller nach § 7 Abs. 1 des Ordensgesetzes berechtigt ist, das Verwundetenabzeichen des zweiten Weltkrieges zu tragen.</w:t>
      </w:r>
    </w:p>
    <w:p>
      <w:r>
        <w:t xml:space="preserve">(2) Liegen die Voraussetzungen für die Ausstellung des Berechtigungsausweises nicht vor, so ist der Antrag abzulehnen.</w:t>
      </w:r>
    </w:p>
    <w:p>
      <w:r>
        <w:rPr>
          <w:color w:val="555555"/>
          <w:sz w:val="17"/>
        </w:rPr>
        <w:t xml:space="preserve">Zitiervorschlag: § 19 OrdenNachwV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https://recht.nulegal.eu/gesetze/OrdenNachwV/19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OrdenNachwV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