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OrdenNachwV — Versagung der Ersatzurkunde</w:t>
      </w:r>
    </w:p>
    <w:p>
      <w:r>
        <w:rPr>
          <w:color w:val="555555"/>
          <w:sz w:val="18"/>
        </w:rPr>
        <w:t xml:space="preserve">Verordnung über den Besitznachweis für Orden und Ehrenzeichen und den Nachweis von Verwundungen und Beschädigungen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Liegen die Voraussetzungen für die Ausstellung einer Ersatzurkunde nach § 10 nicht vor, so ist der Antrag abzulehnen. Wegen mangelnden Nachweises der ordnungsgemäßen Verleihung kann der Antrag erst abgelehnt werden, wenn dem Antragsteller nach § 8 Abs. 2 Satz 2 eine Frist gesetzt wurde und diese abgelaufen ist.</w:t>
      </w:r>
    </w:p>
    <w:p>
      <w:r>
        <w:rPr>
          <w:color w:val="555555"/>
          <w:sz w:val="17"/>
        </w:rPr>
        <w:t xml:space="preserve">Zitiervorschlag: § 11 OrdenNachwV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https://recht.nulegal.eu/gesetze/OrdenNachwV/11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