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OrdenG — Verwundetenabzeichen des zweiten Weltkrieges</w:t>
      </w:r>
    </w:p>
    <w:p>
      <w:r>
        <w:rPr>
          <w:color w:val="555555"/>
          <w:sz w:val="18"/>
        </w:rPr>
        <w:t xml:space="preserve">Gesetz über Titel, Orden und Ehrenzeichen</w:t>
      </w:r>
    </w:p>
    <w:p>
      <w:r>
        <w:rPr>
          <w:color w:val="555555"/>
          <w:sz w:val="18"/>
        </w:rPr>
        <w:t xml:space="preserve">Stand: 01.07.2020 (konsolidierte Textfassung, kein amtliches Inkrafttretensdatum)</w:t>
      </w:r>
    </w:p>
    <w:p>
      <w:r>
        <w:t xml:space="preserve">(1) Das Verwundetenabzeichen des zweiten Weltkrieges kann von jedem, der eine Verletzung durch Kriegseinwirkungen nachweisen kann, in der Stufe getragen werden, die in der Verordnung über die Stiftung eines Verwundetenabzeichens vom 1. September 1939 (Reichsgesetzbl. I S. 1577) und den hierzu ergangenen Ausführungsbestimmungen nach Anzahl oder Schwere der Verwundungen oder Beschädigungen vorgesehen ist.</w:t>
      </w:r>
    </w:p>
    <w:p>
      <w:r>
        <w:t xml:space="preserve">(2) Der Bundesminister des Innern, für Bau und Heimat wird ermächtigt, durch Rechtsverordnung mit Zustimmung des Bundesrates zu bestimmen, wie der Nachweis der Verwundungen oder Beschädigungen zu führen ist.</w:t>
      </w:r>
    </w:p>
    <w:p>
      <w:r>
        <w:rPr>
          <w:color w:val="555555"/>
          <w:sz w:val="17"/>
        </w:rPr>
        <w:t xml:space="preserve">Zitiervorschlag: § 7 OrdenG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https://recht.nulegal.eu/gesetze/OrdenG/7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