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OrdenG — Entziehung</w:t>
      </w:r>
    </w:p>
    <w:p>
      <w:r>
        <w:rPr>
          <w:color w:val="555555"/>
          <w:sz w:val="18"/>
        </w:rPr>
        <w:t xml:space="preserve">Gesetz über Titel, Orden und Ehrenzeichen</w:t>
      </w:r>
    </w:p>
    <w:p>
      <w:r>
        <w:rPr>
          <w:color w:val="555555"/>
          <w:sz w:val="18"/>
        </w:rPr>
        <w:t xml:space="preserve">Stand: 01.07.2020 (konsolidierte Textfassung, kein amtliches Inkrafttretensdatum)</w:t>
      </w:r>
    </w:p>
    <w:p>
      <w:r>
        <w:t xml:space="preserve">(1) Erweist sich ein Beliehener durch sein Verhalten, insbesondere durch Begehen einer entehrenden Straftat, des verliehenen Titels oder der verliehenen Auszeichnung unwürdig oder wird ein solches Verhalten nachträglich bekannt, so kann ihm der Verleihungsberechtigte den Titel oder die Auszeichnung entziehen und die Einziehung der Verleihungsurkunde anordnen. Für Klagen gegen die Entziehung eines Titels oder einer Auszeichnung und die Einziehung der Verleihungsurkunde ist der Verwaltungsrechtsweg gegeben. Soweit Anordnungen des Bundespräsidenten angefochten werden, ist die Klage gegen den Bundesminister des Innern, für Bau und Heimat zu richten.</w:t>
      </w:r>
    </w:p>
    <w:p>
      <w:r>
        <w:t xml:space="preserve">(2) Erkennt ein Gericht</w:t>
      </w:r>
    </w:p>
    <w:p>
      <w:pPr>
        <w:ind w:left="420"/>
      </w:pPr>
      <w:r>
        <w:t xml:space="preserve">1. auf eine Freiheitsstrafe von mindestens einem Jahr wegen eines Verbrechens,</w:t>
      </w:r>
    </w:p>
    <w:p>
      <w:pPr>
        <w:ind w:left="420"/>
      </w:pPr>
      <w:r>
        <w:t xml:space="preserve">2. auf eine Freiheitsstrafe von mindestens sechs Monaten wegen einer vorsätzlichen Tat, die nach den Vorschriften über Friedensverrat, Hochverrat, Gefährdung des demokratischen Rechtsstaates, Landesverrat oder Gefährdung der äußeren Sicherheit strafbar ist, oder</w:t>
      </w:r>
    </w:p>
    <w:p>
      <w:pPr>
        <w:ind w:left="420"/>
      </w:pPr>
      <w:r>
        <w:t xml:space="preserve">3. auf Aberkennung der Fähigkeit, öffentliche Ämter zu bekleiden,</w:t>
      </w:r>
    </w:p>
    <w:p>
      <w:r>
        <w:t xml:space="preserve">und ergibt sich aus dem Strafurteil, daß der Verurteilte Inhaber von Titeln, Orden oder Ehrenzeichen ist, die nach dem 8. Mai 1945 verliehen worden sind, so teilt die Strafverfolgungs- oder Strafvollstreckungsbehörde die Verurteilung mit, sobald sie rechtskräftig ist.</w:t>
      </w:r>
    </w:p>
    <w:p>
      <w:r>
        <w:t xml:space="preserve">(3) Die Mitteilung ist zu richten</w:t>
      </w:r>
    </w:p>
    <w:p>
      <w:pPr>
        <w:ind w:left="420"/>
      </w:pPr>
      <w:r>
        <w:t xml:space="preserve">1. bei Titeln, Orden oder Ehrenzeichen, die von einer Stelle innerhalb des Geltungsbereichs dieses Gesetzes verliehen worden sind, an den Verleihungsberechtigten,</w:t>
      </w:r>
    </w:p>
    <w:p>
      <w:pPr>
        <w:ind w:left="420"/>
      </w:pPr>
      <w:r>
        <w:t xml:space="preserve">2. bei Titeln, Orden oder Ehrenzeichen, die von einem ausländischen Staatsoberhaupt, einer ausländischen Regierung oder einer anderen Stelle außerhalb des Geltungsbereichs dieses Gesetzes verliehen worden sind, an das Bundespräsidialamt.</w:t>
      </w:r>
    </w:p>
    <w:p>
      <w:r>
        <w:t xml:space="preserve">Die Mitteilung umfaßt den Urteilstenor sowie den verliehenen Titel oder die verliehene Auszeichnung. Der Empfänger der Mitteilung kann auch die Mitteilung der Urteilsgründe verlangen, soweit die Mitteilung des Urteilstenors für seine Entscheidung nicht ausreicht.</w:t>
      </w:r>
    </w:p>
    <w:p>
      <w:r>
        <w:rPr>
          <w:color w:val="555555"/>
          <w:sz w:val="17"/>
        </w:rPr>
        <w:t xml:space="preserve">Zitiervorschlag: § 4 OrdenG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https://recht.nulegal.eu/gesetze/OrdenG/4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