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OrdenErl 2022</w:t>
      </w:r>
    </w:p>
    <w:p>
      <w:r>
        <w:rPr>
          <w:color w:val="555555"/>
          <w:sz w:val="18"/>
        </w:rPr>
        <w:t xml:space="preserve">Erlass über die Genehmigung der Stiftung und Verleihung von Orden und Ehrenzeichen</w:t>
      </w:r>
    </w:p>
    <w:p>
      <w:r>
        <w:rPr>
          <w:color w:val="555555"/>
          <w:sz w:val="18"/>
        </w:rPr>
        <w:t xml:space="preserve">Stand: 27.09.2022 (konsolidierte Textfassung, kein amtliches Inkrafttretensdatum)</w:t>
      </w:r>
    </w:p>
    <w:p>
      <w:r>
        <w:t xml:space="preserve">Dieser Erlass tritt am Tag nach der Verkündung in Kraft.</w:t>
      </w:r>
    </w:p>
    <w:p>
      <w:r>
        <w:rPr>
          <w:color w:val="555555"/>
          <w:sz w:val="17"/>
        </w:rPr>
        <w:t xml:space="preserve">Zitiervorschlag: Art 2 OrdenErl 2022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https://recht.nulegal.eu/gesetze/OrdenErl%202022/2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