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OpfBG — Anrufung der oder des Opferbeauftragten</w:t>
      </w:r>
    </w:p>
    <w:p>
      <w:r>
        <w:rPr>
          <w:color w:val="555555"/>
          <w:sz w:val="18"/>
        </w:rPr>
        <w:t xml:space="preserve">SED-Opferbeauftragtengesetz</w:t>
      </w:r>
    </w:p>
    <w:p>
      <w:r>
        <w:rPr>
          <w:color w:val="555555"/>
          <w:sz w:val="18"/>
        </w:rPr>
        <w:t xml:space="preserve">Stand: 17.06.2021 (konsolidierte Textfassung, kein amtliches Inkrafttretensdatum)</w:t>
      </w:r>
    </w:p>
    <w:p>
      <w:r>
        <w:t xml:space="preserve">Jede Person hat das Recht, sich in Angelegenheiten der Opfer der SED-Diktatur und der kommunistischen Herrschaft in der Sowjetischen Besatzungszone in Deutschland und in der ehemaligen Deutschen Demokratischen Republik an die Opferbeauftragte oder den Opferbeauftragten zu wenden.</w:t>
      </w:r>
    </w:p>
    <w:p>
      <w:r>
        <w:rPr>
          <w:color w:val="555555"/>
          <w:sz w:val="17"/>
        </w:rPr>
        <w:t xml:space="preserve">Zitiervorschlag: § 3 OpfBG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https://recht.nulegal.eu/gesetze/OpfBG/3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