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OnlWahlV</w:t>
      </w:r>
    </w:p>
    <w:p>
      <w:r>
        <w:rPr>
          <w:color w:val="555555"/>
          <w:sz w:val="18"/>
        </w:rPr>
        <w:t xml:space="preserve">Online-Wahl-Verordnung</w:t>
      </w:r>
    </w:p>
    <w:p>
      <w:r>
        <w:rPr>
          <w:color w:val="555555"/>
          <w:sz w:val="18"/>
        </w:rPr>
        <w:t xml:space="preserve">Historische Fassung: Stand 01.10.2020 bis 23.01.2026. Dies ist nicht die aktuelle Fassung.</w:t>
      </w:r>
    </w:p>
    <w:p>
      <w:r>
        <w:t xml:space="preserve">Auf Grund des § 194c des Fünften Buches Sozialgesetzbuch, der durch Artikel 5 Nummer 8 des Gesetzes vom 12. Juni 2020 (BGBl. I S. 1248) eingefügt worden ist, verordnet das Bundesministerium für Gesundheit im Einvernehmen mit dem Bundesamt für Sicherheit in der Informationstechnik:</w:t>
      </w:r>
    </w:p>
    <w:p>
      <w:r>
        <w:rPr>
          <w:color w:val="555555"/>
          <w:sz w:val="17"/>
        </w:rPr>
        <w:t xml:space="preserve">Zitiervorschlag: Eingangsformel OnlWahlV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https://recht.nulegal.eu/gesetze/OnlWahlV/eingangsformel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