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OnlWahlV — Abgleich der Briefwahl- und der Online-Stimmen</w:t>
      </w:r>
    </w:p>
    <w:p>
      <w:r>
        <w:rPr>
          <w:color w:val="555555"/>
          <w:sz w:val="18"/>
        </w:rPr>
        <w:t xml:space="preserve">Online-Wahl-Verordnung</w:t>
      </w:r>
    </w:p>
    <w:p>
      <w:r>
        <w:rPr>
          <w:color w:val="555555"/>
          <w:sz w:val="18"/>
        </w:rPr>
        <w:t xml:space="preserve">Historische Fassung: Stand 01.10.2020 bis 23.01.2026. Dies ist nicht die aktuelle Fassung.</w:t>
      </w:r>
    </w:p>
    <w:p>
      <w:r>
        <w:t xml:space="preserve">(1) Der Online-Dienstleister übermittelt die elektronische Liste mit den Wahlkennzeichen, zu denen eine Online-Stimme abgegeben wurde, an die Briefwahlleitung. Hierbei haben der Online-Dienstleister und die Briefwahlleitung sicherzustellen, dass die Daten gegen Veränderungen und Löschungen sowie gegen Austausch und Diebstahl geschützt werden.</w:t>
      </w:r>
    </w:p>
    <w:p>
      <w:r>
        <w:t xml:space="preserve">(2) Alle Wahlkennzeichen, für die eine Stimme per Briefwahl eingegangen ist und zusätzlich eine Online-Stimme abgegeben wurde, werden von der Briefwahlleitung ausgewiesen. Damit die Wahlbriefe als doppelte Stimmabgabe nach § 194b Absatz 3 Nummer 2 des Fünften Buches Sozialgesetzbuch identifiziert werden können, hat die Briefwahlleitung vor der Ermittlung des Wahlergebnisses die Wahlkennzeichen, zu denen eine Stimme per Briefwahl abgegeben wurde, mit den Wahlkennzeichen abzugleichen, zu denen eine Stimme per Online-Wahl abgegeben wurde.</w:t>
      </w:r>
    </w:p>
    <w:p>
      <w:r>
        <w:rPr>
          <w:color w:val="555555"/>
          <w:sz w:val="17"/>
        </w:rPr>
        <w:t xml:space="preserve">Zitiervorschlag: § 13 OnlWahlV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https://recht.nulegal.eu/gesetze/OnlWahlV/13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