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OnlWahlV — Anwendungsbereich</w:t>
      </w:r>
    </w:p>
    <w:p>
      <w:r>
        <w:rPr>
          <w:color w:val="555555"/>
          <w:sz w:val="18"/>
        </w:rPr>
        <w:t xml:space="preserve">Online-Wahl-Verordnung</w:t>
      </w:r>
    </w:p>
    <w:p>
      <w:r>
        <w:rPr>
          <w:color w:val="555555"/>
          <w:sz w:val="18"/>
        </w:rPr>
        <w:t xml:space="preserve">Historische Fassung: Stand 01.10.2020 bis 23.01.2026. Dies ist nicht die aktuelle Fassung.</w:t>
      </w:r>
    </w:p>
    <w:p>
      <w:r>
        <w:t xml:space="preserve">Diese Verordnung regelt die technischen und organisatorischen Vorgaben für die Durchführung der Online-Wahl im Rahmen des Modellprojekts nach § 194a Absatz 1 Satz 1 des Fünften Buches Sozialgesetzbuch.</w:t>
      </w:r>
    </w:p>
    <w:p>
      <w:r>
        <w:rPr>
          <w:color w:val="555555"/>
          <w:sz w:val="17"/>
        </w:rPr>
        <w:t xml:space="preserve">Zitiervorschlag: § 1 OnlWahlV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https://recht.nulegal.eu/gesetze/OnlWahlV/1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