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OlympSchG — Sachliche Zuständigkeit</w:t>
      </w:r>
    </w:p>
    <w:p>
      <w:r>
        <w:rPr>
          <w:color w:val="555555"/>
          <w:sz w:val="18"/>
        </w:rPr>
        <w:t xml:space="preserve">Gesetz zum Schutz des olympischen Emblems und der olympischen Bezeichnungen</w:t>
      </w:r>
    </w:p>
    <w:p>
      <w:r>
        <w:rPr>
          <w:color w:val="555555"/>
          <w:sz w:val="18"/>
        </w:rPr>
        <w:t xml:space="preserve">Stand: 10.06.2019 (konsolidierte Textfassung, kein amtliches Inkrafttretensdatum)</w:t>
      </w:r>
    </w:p>
    <w:p>
      <w:r>
        <w:t xml:space="preserve">(1) Für alle Klagen, durch die ein Anspruch auf Grund dieses Gesetzes geltend gemacht wird, sind die Landgerichte ausschließlich zuständig.</w:t>
      </w:r>
    </w:p>
    <w:p>
      <w:r>
        <w:t xml:space="preserve">(2) Die Landesregierungen werden ermächtigt, durch Rechtsverordnung die Streitsachen im Sinne von Absatz 1 insgesamt oder teilweise für die Bezirke mehrerer Landgerichte einem von ihnen zuzuweisen, sofern dies der sachlichen Förderung oder der schnelleren Erledigung der Verfahren dient. Die Landesregierungen können diese Ermächtigung auf die Landesjustizverwaltungen übertragen.</w:t>
      </w:r>
    </w:p>
    <w:p>
      <w:r>
        <w:rPr>
          <w:color w:val="555555"/>
          <w:sz w:val="17"/>
        </w:rPr>
        <w:t xml:space="preserve">Zitiervorschlag: § 9 OlympSchG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https://recht.nulegal.eu/gesetze/OlympSchG/9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