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OlympSchG — Fortgeltung bestehender Rechte</w:t>
      </w:r>
    </w:p>
    <w:p>
      <w:r>
        <w:rPr>
          <w:color w:val="555555"/>
          <w:sz w:val="18"/>
        </w:rPr>
        <w:t xml:space="preserve">Gesetz zum Schutz des olympischen Emblems und der olympischen Bezeichnungen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Rechte Dritter, die auf Grund gesetzlicher Bestimmungen, auf Grund vertraglicher Vereinbarungen auf dem Gebiet des Vereins-, Marken-, Design- und Handelsrechts oder auf Grund sonstiger vertraglicher Vereinbarungen mit den Rechtsinhabern am 13. August 2003 bereits bestehen, bleiben unberührt.</w:t>
      </w:r>
    </w:p>
    <w:p>
      <w:r>
        <w:rPr>
          <w:color w:val="555555"/>
          <w:sz w:val="17"/>
        </w:rPr>
        <w:t xml:space="preserve">Zitiervorschlag: § 8 OlympSchG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https://recht.nulegal.eu/gesetze/OlympSchG/8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