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OlympSchG — Unterlassungsanspruch; Schadensersatzanspruch</w:t>
      </w:r>
    </w:p>
    <w:p>
      <w:r>
        <w:rPr>
          <w:color w:val="555555"/>
          <w:sz w:val="18"/>
        </w:rPr>
        <w:t xml:space="preserve">Gesetz zum Schutz des olympischen Emblems und der olympischen Bezeichnungen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das olympische Emblem oder die olympischen Bezeichnungen entgegen § 3 benutzt, kann von dem Nationalen Olympischen Komitee für Deutschland oder dem Internationalen Olympischen Komitee auf Unterlassung in Anspruch genommen werden.</w:t>
      </w:r>
    </w:p>
    <w:p>
      <w:r>
        <w:t xml:space="preserve">(2) Wer die Verletzungshandlung vorsätzlich oder fahrlässig begeht, ist dem Nationalen Olympischen Komitee für Deutschland und dem Internationalen Olympischen Komitee zum Ersatz des diesen durch die Verletzungshandlung entstandenen Schadens verpflichtet.</w:t>
      </w:r>
    </w:p>
    <w:p>
      <w:r>
        <w:rPr>
          <w:color w:val="555555"/>
          <w:sz w:val="17"/>
        </w:rPr>
        <w:t xml:space="preserve">Zitiervorschlag: § 5 OlympSchG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https://recht.nulegal.eu/gesetze/OlympSchG/5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