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OlympSchG — Inhaber des Schutzrechts</w:t>
      </w:r>
    </w:p>
    <w:p>
      <w:r>
        <w:rPr>
          <w:color w:val="555555"/>
          <w:sz w:val="18"/>
        </w:rPr>
        <w:t xml:space="preserve">Gesetz zum Schutz des olympischen Emblems und der olympischen Bezeichnungen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ausschließliche Recht auf die Verwendung und Verwertung des olympischen Emblems und der olympischen Bezeichnungen steht dem Nationalen Olympischen Komitee für Deutschland und dem Internationalen Olympischen Komitee zu.</w:t>
      </w:r>
    </w:p>
    <w:p>
      <w:r>
        <w:rPr>
          <w:color w:val="555555"/>
          <w:sz w:val="17"/>
        </w:rPr>
        <w:t xml:space="preserve">Zitiervorschlag: § 2 OlympSchG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https://recht.nulegal.eu/gesetze/OlympSchG/2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