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OlympSchG — Gegenstand des Gesetzes</w:t>
      </w:r>
    </w:p>
    <w:p>
      <w:r>
        <w:rPr>
          <w:color w:val="555555"/>
          <w:sz w:val="18"/>
        </w:rPr>
        <w:t xml:space="preserve">Gesetz zum Schutz des olympischen Emblems und der olympischen Bezeichnungen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dieses Gesetzes ist der Schutz des olympischen Emblems und der olympischen Bezeichnungen.</w:t>
      </w:r>
    </w:p>
    <w:p>
      <w:r>
        <w:t xml:space="preserve">(2) Das olympische Emblem ist das Symbol des Internationalen Olympischen Komitees bestehend aus fünf ineinander verschlungenen Ringen nach dem Muster der Anlage 1 (Olympische Ringe).</w:t>
      </w:r>
    </w:p>
    <w:p>
      <w:r>
        <w:t xml:space="preserve">(3) Die olympischen Bezeichnungen sind die Wörter "Olympiade", "Olympia", "olympisch", alle diese Wörter allein oder in Zusammensetzung sowie die entsprechenden Wörter oder Wortgruppen in einer anderen Sprache.</w:t>
      </w:r>
    </w:p>
    <w:p>
      <w:r>
        <w:rPr>
          <w:color w:val="555555"/>
          <w:sz w:val="17"/>
        </w:rPr>
        <w:t xml:space="preserve">Zitiervorschlag: § 1 OlympSchG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https://recht.nulegal.eu/gesetze/OlympSchG/1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