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OldenbG</w:t>
      </w:r>
    </w:p>
    <w:p>
      <w:r>
        <w:rPr>
          <w:color w:val="555555"/>
          <w:sz w:val="18"/>
        </w:rPr>
        <w:t xml:space="preserve">Gesetz über die Regelung der Landeszugehörigkeit des Verwaltungsbezirks Oldenburg und des Landkreises Schaumburg-Lippe nach Artikel 29 Abs. 3 Satz 2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3 OldenbG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https://recht.nulegal.eu/gesetze/OldenbG/3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