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OffshoreBergV — (zu § 49 Absatz 3) Informationen in den Berichten über Bohrungsarbeiten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2016,1903)</w:t>
      </w:r>
    </w:p>
    <w:p>
      <w:r>
        <w:rPr>
          <w:rFonts w:ascii="Courier New" w:hAnsi="Courier New"/>
          <w:sz w:val="17"/>
        </w:rPr>
        <w:t xml:space="preserve">Die Berichte über Bohrungsarbeiten nach § 49 Absatz 3 umfassen mindestens die folgenden Informationen:</w:t>
      </w:r>
    </w:p>
    <w:p>
      <w:r>
        <w:rPr>
          <w:rFonts w:ascii="Courier New" w:hAnsi="Courier New"/>
          <w:sz w:val="17"/>
        </w:rPr>
        <w:t xml:space="preserve">1.    Name und Anschrift des Unternehmers von Bohrungsarbeiten,</w:t>
      </w:r>
    </w:p>
    <w:p>
      <w:r>
        <w:rPr>
          <w:rFonts w:ascii="Courier New" w:hAnsi="Courier New"/>
          <w:sz w:val="17"/>
        </w:rPr>
        <w:t xml:space="preserve">2.    Bezeichnung der Plattform und Name und Anschrift ihres Unternehmers,</w:t>
      </w:r>
    </w:p>
    <w:p>
      <w:r>
        <w:rPr>
          <w:rFonts w:ascii="Courier New" w:hAnsi="Courier New"/>
          <w:sz w:val="17"/>
        </w:rPr>
        <w:t xml:space="preserve">3.    eine Beschreibung der Einzelheiten, die das Bohrloch eindeutig kennzeichnen, und etwaiger Verbindungen des Bohrlochs zu Plattformen oder angebundener Infrastruktur,</w:t>
      </w:r>
    </w:p>
    <w:p>
      <w:r>
        <w:rPr>
          <w:rFonts w:ascii="Courier New" w:hAnsi="Courier New"/>
          <w:sz w:val="17"/>
        </w:rPr>
        <w:t xml:space="preserve">4.    eine Zusammenfassung der seit Aufnahme des Betriebs oder seit dem vorigen Bericht durchgeführten Arbeiten,</w:t>
      </w:r>
    </w:p>
    <w:p>
      <w:r>
        <w:rPr>
          <w:rFonts w:ascii="Courier New" w:hAnsi="Courier New"/>
          <w:sz w:val="17"/>
        </w:rPr>
        <w:t xml:space="preserve">5.    Durchmesser und tatsächliche sowie gemessene vertikale Tiefe für</w:t>
      </w:r>
    </w:p>
    <w:p>
      <w:r>
        <w:rPr>
          <w:rFonts w:ascii="Courier New" w:hAnsi="Courier New"/>
          <w:sz w:val="17"/>
        </w:rPr>
        <w:t xml:space="preserve">    5.1    jedes Bohrloch und</w:t>
      </w:r>
    </w:p>
    <w:p>
      <w:r>
        <w:rPr>
          <w:rFonts w:ascii="Courier New" w:hAnsi="Courier New"/>
          <w:sz w:val="17"/>
        </w:rPr>
        <w:t xml:space="preserve">    5.2    jede angebrachte Einfassung,</w:t>
      </w:r>
    </w:p>
    <w:p>
      <w:r>
        <w:rPr>
          <w:rFonts w:ascii="Courier New" w:hAnsi="Courier New"/>
          <w:sz w:val="17"/>
        </w:rPr>
        <w:t xml:space="preserve">6.    Dichte der Bohrflüssigkeit zum Zeitpunkt des Berichts,</w:t>
      </w:r>
    </w:p>
    <w:p>
      <w:r>
        <w:rPr>
          <w:rFonts w:ascii="Courier New" w:hAnsi="Courier New"/>
          <w:sz w:val="17"/>
        </w:rPr>
        <w:t xml:space="preserve">7.    bei Arbeiten an einem bereits bestehenden Bohrloch dessen aktuellen Betriebszustand.</w:t>
      </w:r>
    </w:p>
    <w:p>
      <w:r>
        <w:rPr>
          <w:color w:val="555555"/>
          <w:sz w:val="17"/>
        </w:rPr>
        <w:t xml:space="preserve">Zitiervorschlag: Anlage 2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OffshoreBergV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