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OffshoreBergV — Untergrundspeicherung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der Kapitel 1 und 3 sind auf die in § 1 Absatz 2 genannten Tätigkeiten entsprechend anzuwenden.</w:t>
      </w:r>
    </w:p>
    <w:p>
      <w:r>
        <w:t xml:space="preserve">(2) Die Vorschriften des Kapitel 2 sind wie folgt entsprechend anzuwenden:</w:t>
      </w:r>
    </w:p>
    <w:p>
      <w:pPr>
        <w:ind w:left="420"/>
      </w:pPr>
      <w:r>
        <w:t xml:space="preserve">1. § 40 Absatz 1, Absatz 2 Satz 1 und Absatz 3, § 47, § 48 Absatz 1 Satz 1, Absatz 2 Satz 2, Absatz 5 bis 6, Absatz 7 Nummer 1, Absatz 8 Satz 1 und Absatz 9, die §§ 52 bis 57, § 58 Absatz 2 und 3, § 59, § 63 sowie § 66 Absatz 1, 2 und 5 für Tätigkeiten nach § 1 Absatz 2 Nummer 1 und für die Aufsuchung, Gewinnung und Aufbereitung von Bodenschätzen im Offshore-Bereich, die der Errichtung eines Speichers dienen oder dessen Errichtung vorausgehen und keine Offshore-Erdöl- und -Erdgasaktivitäten sind;</w:t>
      </w:r>
    </w:p>
    <w:p>
      <w:pPr>
        <w:ind w:left="420"/>
      </w:pPr>
      <w:r>
        <w:t xml:space="preserve">2. auf die in § 1 Absatz 2 Nummer 2 genannten Tätigkeiten.</w:t>
      </w:r>
    </w:p>
    <w:p>
      <w:r>
        <w:rPr>
          <w:color w:val="555555"/>
          <w:sz w:val="17"/>
        </w:rPr>
        <w:t xml:space="preserve">Zitiervorschlag: § 69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