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OffshoreBergV — Informationsaustausch zwischen Unternehmer und Behörden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Gewährleistung eines grenzübergreifenden europäischen Informationsaustausches für ernste Gefahren hat der Unternehmer der zuständigen Behörde mindestens die in Anlage 7 Nummer 1 genannten Informationen zur Verfügung zu stellen. Hierbei hat er die Vorgaben gemäß der Durchführungsverordnung (EU) Nr. 1112/2014 der Kommission vom 13. Oktober 2014 zur Festlegung eines gemeinsamen Formats für den Informationsaustausch über Indikatoren für ernste Gefahren durch die Betreiber und Eigentümer von Offshore-Erdöl- und -Erdgasanlagen sowie eines gemeinsamen Formats für die Veröffentlichung der Informationen über Indikatoren für ernste Gefahren durch die Mitgliedstaaten (ABl. L 302 vom 22.10.2014, S. 1) zu beachten.</w:t>
      </w:r>
    </w:p>
    <w:p>
      <w:r>
        <w:t xml:space="preserve">(2) Die zuständige Behörde hat die Informationen nach Absatz 1 entsprechend den Vorgaben der Durchführungsverordnung (EU) Nr. 1112/2014 zu veröffentlichen.</w:t>
      </w:r>
    </w:p>
    <w:p>
      <w:r>
        <w:rPr>
          <w:color w:val="555555"/>
          <w:sz w:val="17"/>
        </w:rPr>
        <w:t xml:space="preserve">Zitiervorschlag: § 62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