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OffshoreBergV — Genehmigung von Plattformen</w:t>
      </w:r>
    </w:p>
    <w:p>
      <w:r>
        <w:rPr>
          <w:color w:val="555555"/>
          <w:sz w:val="18"/>
        </w:rPr>
        <w:t xml:space="preserve">Offshore-Bergverordnung</w:t>
      </w:r>
    </w:p>
    <w:p>
      <w:r>
        <w:rPr>
          <w:color w:val="555555"/>
          <w:sz w:val="18"/>
        </w:rPr>
        <w:t xml:space="preserve">Stand: 10.06.2019 (konsolidierte Textfassung, kein amtliches Inkrafttretensdatum)</w:t>
      </w:r>
    </w:p>
    <w:p>
      <w:r>
        <w:t xml:space="preserve">(1) Die Errichtung, der Betrieb sowie alle wesentlichen Änderungen einer Plattform sowie einer angebundenen Einrichtung nach § 2 Absatz 10 Satz 1 Nummer 1, die der Durchführung bergbaulicher Tätigkeiten oder der Unterbringung von Personen dienen, bedürfen der Genehmigung der zuständigen Behörde. Die Genehmigung kann vom Unternehmer sowie von demjenigen, in dessen Auftrag die Herstellung erfolgt, beantragt werden.</w:t>
      </w:r>
    </w:p>
    <w:p>
      <w:r>
        <w:t xml:space="preserve">(2) Die Erteilung der Genehmigung setzt voraus, dass</w:t>
      </w:r>
    </w:p>
    <w:p>
      <w:pPr>
        <w:ind w:left="420"/>
      </w:pPr>
      <w:r>
        <w:t xml:space="preserve">1. die Anforderungen an die zu erwartenden Überführungs- oder Einsatzbedingungen der Plattform und der angebundenen Einrichtungen erfüllt sind,</w:t>
      </w:r>
    </w:p>
    <w:p>
      <w:pPr>
        <w:ind w:left="420"/>
      </w:pPr>
      <w:r>
        <w:t xml:space="preserve">2. die Betriebs- und Arbeitssicherheit gewährleistet ist,</w:t>
      </w:r>
    </w:p>
    <w:p>
      <w:pPr>
        <w:ind w:left="420"/>
      </w:pPr>
      <w:r>
        <w:t xml:space="preserve">3. bei einer Plattform, die der Gewinnung von Erdöl oder Erdgas dient, eine Konstruktionsmitteilung nach Anlage 1 Nummer 1 vorgelegt wurde, und</w:t>
      </w:r>
    </w:p>
    <w:p>
      <w:pPr>
        <w:ind w:left="420"/>
      </w:pPr>
      <w:r>
        <w:t xml:space="preserve">4. bei einer beweglichen Plattform ein Sicherheitszeugnis der zuständigen Behörde des Flaggenstaates oder einer vom Flaggenstaat anerkannten Organisation vorgelegt wird, aus dem sich die Übereinstimmung mit den folgenden von der Internationalen Seeschifffahrts-Organisation (IMO) angenommen Vorschriften ergibt:</w:t>
      </w:r>
    </w:p>
    <w:p>
      <w:pPr>
        <w:ind w:left="780"/>
      </w:pPr>
      <w:r>
        <w:t xml:space="preserve">a) für Plattformen, deren Kiellegung vor dem 1. Januar 2012 erfolgt ist oder die sich zu diesem Zeitpunkt in einem entsprechenden Bauzustand befanden: Code für den Bau und die Ausrüstung beweglicher Offshore-Bohrplattformen, angenommen am 19. Oktober 1989 (MODU-Code 89, Entschließung A.649(16)), der zuletzt durch die am 21. Juni 2013 angenommenen Änderungen MSC.357(92) und MSC.358(92) (VkBl. 2014 S. 387 und 389) geändert wurde,</w:t>
      </w:r>
    </w:p>
    <w:p>
      <w:pPr>
        <w:ind w:left="780"/>
      </w:pPr>
      <w:r>
        <w:t xml:space="preserve">b) für Plattformen, deren Kiellegung am oder nach dem 1. Januar 2012 erfolgt oder die sich zu diesem Zeitpunkt in einem entsprechenden Bauzustand befinden: Code für den Bau und die Ausrüstung beweglicher Offshore-Bohrplattformen, angenommen am 2. Dezember 2009 (MODU-Code 2009, Entschließung A.1023(26), VkBl. 2011 S. 747, Sonderdruck B 8150), der zuletzt durch die am 21. Juni 2013 angenommenen Änderungen MSC.359(92) (VkBl. 2014 S. 387 und S. 290) geändert wurde.</w:t>
      </w:r>
    </w:p>
    <w:p>
      <w:r>
        <w:t xml:space="preserve">Abweichend von Satz 1 Nummer 4 kann, falls der Flaggenstaat kein Sicherheitszeugnis entsprechend dem MODU-Code ausstellt und keine Organisation anerkannt hat, die ein solches Zeugnis ausstellt, eine Bescheinigung der Berufsgenossenschaft Verkehrswirtschaft Post-Logistik Telekommunikation im Sinne des § 9 Absatz 6 Satz 1 der Schiffssicherheitsverordnung vom 18. September 1998 (BGBl. I S. 3013, 3023), die durch Artikel 2 der Verordnung vom 28. Juni 2016 (BGBl. I S. 1504) geändert worden ist, vorgelegt werden, mit der bestätigt wird, dass die Plattform einen Sicherheitsstandard einhält, der dem MODU-Code gleichwertig ist. Im Rahmen der nach Satz 1 Nummer 1 und 2 zu stellenden Anforderungen sind neben den Vorschriften dieser Verordnung und dem MODU-Code nach Satz 1 Nummer 4 insbesondere eventuelle Empfehlungen der Gruppe der für Offshore-Erdöl- und Erdgasaktivitäten zuständigen Behörden der Europäischen Union (EUOAG)[*] zu berücksichtigen.</w:t>
      </w:r>
    </w:p>
    <w:p>
      <w:r>
        <w:t xml:space="preserve">(3) Die zuständige Behörde kann bei der Prüfung der im Rahmen des Genehmigungsantrages eingereichten Unterlagen einen anerkannten Sachverständigen hinzuziehen. Die hierfür entstehenden Kosten sind vom Antragsteller zu tragen.</w:t>
      </w:r>
    </w:p>
    <w:p>
      <w:r>
        <w:t xml:space="preserve">(4) Die zuständige Behörde hat im Rahmen der Genehmigung nach Absatz 1 Satz 1 oder getrennt hiervon eine Stellungnahme zur Angemessenheit der Konstruktionsmitteilung nach Absatz 2 Satz 1 Nummer 3 abzugeben. Maßgeblich sind dabei die in Absatz 2 Satz 2 genannten Vorschriften. Der Unternehmer hat der Stellungnahme der zuständigen Behörde zur Konstruktionsmitteilung im Bericht über ernste Gefahren nach Anlage 1 Nummer 2.2 Rechnung zu tragen.</w:t>
      </w:r>
    </w:p>
    <w:p>
      <w:r>
        <w:t xml:space="preserve">(5) Hat ein anderer Nordsee-Anliegerstaat, ein anderer Mitgliedstaat der Europäischen Union oder ein anderer Vertragsstaat des Abkommens über den Europäischen Wirtschaftsraum auf der Grundlage der Anforderungen nach Absatz 2 die Eignung und Verwendungsfähigkeit einer Plattform festgestellt, so gilt die Bescheinigung hierüber als Genehmigung im Sinne des Absatzes 1 Satz 1. Die Konstruktionsmitteilung nach Absatz 2 Satz 1 Nummer 3 ist gleichwohl vorzulegen und die zuständige Behörde hat hierzu eine Stellungnahme nach Absatz 4 abzugeben.</w:t>
      </w:r>
    </w:p>
    <w:p>
      <w:r>
        <w:t xml:space="preserve">* Abrufbar unter http://euoag.jrc.ec.europa.eu/.</w:t>
      </w:r>
    </w:p>
    <w:p>
      <w:r>
        <w:rPr>
          <w:color w:val="555555"/>
          <w:sz w:val="17"/>
        </w:rPr>
        <w:t xml:space="preserve">Zitiervorschlag: § 53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