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OffshoreBergV — Durchführung der unabhängigen Überprüfung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Plattformen sowie die in § 46 Absatz 1 Satz 1 Nummer 2 genannten Einrichtungen und Geräte, soweit sie nicht von der Überprüfung der Plattform erfasst sind, vor der erstmaligen Inbetriebnahme, nach jeder wesentlichen Änderung oder Instandsetzung unabhängig überprüfen zu lassen. Dabei sind Fristen und Maßgaben zu berücksichtigen, die in der Beschreibung der Systeme der unabhängigen Überprüfung und gegebenenfalls in der Genehmigung der Plattform, der Einrichtung oder des Gerätes festgelegt sind. Der Unternehmer ist zudem verpflichtet, bewegliche Plattformen vor ihrer Wiederinbetriebnahme nach einem Ortswechsel oder einem Umsetzen auf ihren ordnungsgemäßen Aufbau und ihre Funktionssicherheit überprüfen zu lassen.</w:t>
      </w:r>
    </w:p>
    <w:p>
      <w:r>
        <w:t xml:space="preserve">(2) Der Lauf der Fristen für wiederkehrende Prüfungen wird durch zeitweilige Außerbetriebnahme einer Einrichtung oder eines Gerätes nur unterbrochen, wenn eine fällige Prüfung während der Außerbetriebnahme vorgenommen werden müsste. In diesen Fällen ist die Prüfung vor der Wiederinbetriebnahme durchzuführen. Der Zeitpunkt der Prüfung nach Satz 2 ist maßgebend für den Lauf der weiteren Fristen.</w:t>
      </w:r>
    </w:p>
    <w:p>
      <w:r>
        <w:t xml:space="preserve">(3) Die unabhängige Überprüfung ist von Sachverständigen vorzunehmen, die hierfür nach § 23a der Allgemeinen Bundesbergverordnung oder nach anderen Vorschriften für Überprüfungen in dem entsprechenden Sachgebiet anerkannt worden sind. Elemente, die in der Risikobewertung für die Plattform als nicht sicherheits- und umweltkritische Elemente der Plattform ermittelt wurden und die nicht Gegenstand der Mitteilung über Bohrungsarbeiten sind, können mit Zustimmung der zuständigen Behörde auch von anderen Sachverständigen geprüft werden.</w:t>
      </w:r>
    </w:p>
    <w:p>
      <w:r>
        <w:t xml:space="preserve">(4) Der Unternehmer hat sicherzustellen, dass</w:t>
      </w:r>
    </w:p>
    <w:p>
      <w:pPr>
        <w:ind w:left="420"/>
      </w:pPr>
      <w:r>
        <w:t xml:space="preserve">1. der Sachverständige nicht einen Aspekt oder Teil einer Plattform oder einer in § 46 Absatz 1 Satz 1 Nummer 2 genannten Einrichtung oder eines Gerätes begutachtet, mit der oder dem er vor der Überprüfungstätigkeit befasst war oder in Bezug auf die oder das seine Objektivität aufgrund anderer Umstände beeinträchtigt sein könnte,</w:t>
      </w:r>
    </w:p>
    <w:p>
      <w:pPr>
        <w:ind w:left="420"/>
      </w:pPr>
      <w:r>
        <w:t xml:space="preserve">2. geeignete Vorkehrungen für den Informationsfluss zwischen dem Unternehmer und dem Sachverständigen bestehen und</w:t>
      </w:r>
    </w:p>
    <w:p>
      <w:pPr>
        <w:ind w:left="420"/>
      </w:pPr>
      <w:r>
        <w:t xml:space="preserve">3. der Sachverständige vom Unternehmer ausreichend ermächtigt ist, um seine Funktion als Sachverständiger in wirksamer Weise wahrnehmen zu können.</w:t>
      </w:r>
    </w:p>
    <w:p>
      <w:r>
        <w:t xml:space="preserve">(5) Der Unternehmer hat über die Durchführung und die Ergebnisse der Überprüfungen schriftliche Nachweise zu führen. Die Prüfberichte hat er der zuständigen Behörde auf Verlangen vorzulegen.</w:t>
      </w:r>
    </w:p>
    <w:p>
      <w:r>
        <w:t xml:space="preserve">(6) Der Unternehmer hat Empfehlungen des Sachverständigen Folge zu leisten und auf ihrer Grundlage geeignete Maßnahmen zu ihrer Umsetzung zu ergreifen.</w:t>
      </w:r>
    </w:p>
    <w:p>
      <w:r>
        <w:t xml:space="preserve">(7) Der Unternehmer hat die zuständige Behörde unverzüglich über die Empfehlungen des Sachverständigen und die auf deren Grundlage getroffenen Maßnahmen zu informieren. Er hat die Empfehlung sowie die Dokumentation der Maßnahmen mindestens sechs Monate lang nach Abschluss der betreffenden Offshore-Erdöl- und -Erdgasaktivitäten aufzubewahren.</w:t>
      </w:r>
    </w:p>
    <w:p>
      <w:r>
        <w:t xml:space="preserve">(8) Der Unternehmer hat dem Sachverständigen wesentliche Änderungen geprüfter Bereiche zur weiterführenden Prüfung im Rahmen des Systems der unabhängigen Überprüfung anzuzeigen. Die Ergebnisse der weiterführenden Prüfung hat der Unternehmer der zuständigen Behörde auf Verlangen zur Verfügung zu stellen. § 49 Absatz 2 Satz 1 bleibt unberührt.</w:t>
      </w:r>
    </w:p>
    <w:p>
      <w:r>
        <w:t xml:space="preserve">(9) Der Sachverständige hat die Befugnis, Einsicht in sämtliche Dokumente und Betriebsanweisungen zu nehmen.</w:t>
      </w:r>
    </w:p>
    <w:p>
      <w:r>
        <w:rPr>
          <w:color w:val="555555"/>
          <w:sz w:val="17"/>
        </w:rPr>
        <w:t xml:space="preserve">Zitiervorschlag: § 47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