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OffshoreBergV — Anforderungen an den Betriebsplan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Betriebsplan nach § 52 des Bundesberggesetzes für Offshore-Erdöl- und -Erdgasaktivitäten ist nur zuzulassen, wenn die folgenden Unterlagen vorliegen:</w:t>
      </w:r>
    </w:p>
    <w:p>
      <w:pPr>
        <w:ind w:left="420"/>
      </w:pPr>
      <w:r>
        <w:t xml:space="preserve">1. der Bericht über ernste Gefahren nach § 43,</w:t>
      </w:r>
    </w:p>
    <w:p>
      <w:pPr>
        <w:ind w:left="420"/>
      </w:pPr>
      <w:r>
        <w:t xml:space="preserve">2. bei Durchführung von Bohrungsarbeiten die Mitteilung über Bohrungsarbeiten nach § 49 Absatz 1,</w:t>
      </w:r>
    </w:p>
    <w:p>
      <w:pPr>
        <w:ind w:left="420"/>
      </w:pPr>
      <w:r>
        <w:t xml:space="preserve">3. bei Durchführung eines kombinierten Betriebs die Mitteilung über den kombinierten Betrieb nach § 50 Absatz 1,</w:t>
      </w:r>
    </w:p>
    <w:p>
      <w:pPr>
        <w:ind w:left="420"/>
      </w:pPr>
      <w:r>
        <w:t xml:space="preserve">4. bei Verwendung einer Plattform die Genehmigung der Plattform nach § 53 einschließlich der Konstruktionsmitteilung nach 53 Absatz 2 Satz 1 Nummer 3 und</w:t>
      </w:r>
    </w:p>
    <w:p>
      <w:pPr>
        <w:ind w:left="420"/>
      </w:pPr>
      <w:r>
        <w:t xml:space="preserve">5. bei Verlegung einer Plattform an einen neuen Standort die Mitteilung über die Standortverlegung nach § 51 Absatz 1.</w:t>
      </w:r>
    </w:p>
    <w:p>
      <w:r>
        <w:t xml:space="preserve">(2) Weitere Anforderungen an die Zulassung des Betriebsplans und die Vorlage weiterer Unterlagen nach § 55 des Bundesberggesetzes bleiben unberührt.</w:t>
      </w:r>
    </w:p>
    <w:p>
      <w:r>
        <w:t xml:space="preserve">(3) Zur Erstellung der Unterlagen nach Absatz 1 können auch andere im Betrieb vorhandene oder zu erstellende Unterlagen verwendet werden.</w:t>
      </w:r>
    </w:p>
    <w:p>
      <w:r>
        <w:t xml:space="preserve">(4) Sofern eine Offshore-Erdöl- oder -Erdgasaktivität durch einen Betriebsplan zugelassen ist, der die Anforderungen des Absatzes 1 erfüllt, können die Unterlagen in den Fällen des Absatzes 1 Nummer 2 bis 5 auch im Rahmen von Sonderbetriebsplänen nach § 52 Absatz 2 Nummer 2 des Bundesberggesetzes vorgelegt werden.</w:t>
      </w:r>
    </w:p>
    <w:p>
      <w:r>
        <w:rPr>
          <w:color w:val="555555"/>
          <w:sz w:val="17"/>
        </w:rPr>
        <w:t xml:space="preserve">Zitiervorschlag: § 42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