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OffshoreBergV — Prüfung der Leistungsfähigkeit; Nachweispflicht</w:t>
      </w:r>
    </w:p>
    <w:p>
      <w:r>
        <w:rPr>
          <w:color w:val="555555"/>
          <w:sz w:val="18"/>
        </w:rPr>
        <w:t xml:space="preserve">Offshore-Bergverordnung</w:t>
      </w:r>
    </w:p>
    <w:p>
      <w:r>
        <w:rPr>
          <w:color w:val="555555"/>
          <w:sz w:val="18"/>
        </w:rPr>
        <w:t xml:space="preserve">Stand: 10.06.2019 (konsolidierte Textfassung, kein amtliches Inkrafttretensdatum)</w:t>
      </w:r>
    </w:p>
    <w:p>
      <w:r>
        <w:t xml:space="preserve">(1) Ein Betriebsplan nach § 52 Absatz 1 des Bundesberggesetzes für Offshore-Erdöl- und -Erdgasaktivitäten ist nur zuzulassen wenn,</w:t>
      </w:r>
    </w:p>
    <w:p>
      <w:pPr>
        <w:ind w:left="420"/>
      </w:pPr>
      <w:r>
        <w:t xml:space="preserve">1. der Antragsteller nachweist, dass er ausreichend Vorsorge getroffen hat, um seinen gesetzlichen Verpflichtungen nachkommen zu können, die infolge seiner bergbaulichen Tätigkeit innerhalb und außerhalb des Hoheitsgebietes der Bundesrepublik Deutschland entstehen können und sich beziehen auf</w:t>
      </w:r>
    </w:p>
    <w:p>
      <w:pPr>
        <w:ind w:left="780"/>
      </w:pPr>
      <w:r>
        <w:t xml:space="preserve">a) den Ersatz von Schäden,</w:t>
      </w:r>
    </w:p>
    <w:p>
      <w:pPr>
        <w:ind w:left="780"/>
      </w:pPr>
      <w:r>
        <w:t xml:space="preserve">b) das Tragen von Kosten für Vermeidungs-, Schadensbegrenzungs- und Sanierungsmaßnahmen und</w:t>
      </w:r>
    </w:p>
    <w:p>
      <w:pPr>
        <w:ind w:left="780"/>
      </w:pPr>
      <w:r>
        <w:t xml:space="preserve">c) den Ersatz von Kosten der Ersatzvornahme für Gefahrenabwehr- und Wiedernutzbarmachungsmaßnahmen, und</w:t>
      </w:r>
    </w:p>
    <w:p>
      <w:pPr>
        <w:ind w:left="420"/>
      </w:pPr>
      <w:r>
        <w:t xml:space="preserve">2. der Antragsteller glaubhaft macht, dass er über ausreichende finanzielle und technische Mittel verfügt, um alle Maßnahmen, die für wirksame Notfalleinsatzmaßnahmen zur Vermeidung und Schadensbegrenzung auch bei schweren Unfällen und für anschließende Sanierungsmaßnahmen erforderlich sind, unmittelbar aufnehmen und ohne Unterbrechung fortführen zu können; bei der Beurteilung der Frage, welche Mittel erforderlich sind, sind die internen Notfalleinsatzpläne nach § 48 und die externen Notfalleinsatzpläne nach § 65 zu berücksichtigen.</w:t>
      </w:r>
    </w:p>
    <w:p>
      <w:r>
        <w:t xml:space="preserve">Der Nachweis der Vorsorge nach Satz 1 Nummer 1 kann, soweit er sich auf den Ersatz von Bergschäden nach § 114 Absatz 1 des Bundesberggesetzes bezieht, auch durch den Nachweis einer Ausfallhaftung durch andere Unternehmer im Sinne des § 122 Absatz 1 Nummer 2 des Bundesberggesetzes gewährleistet werden, sofern der Antragsteller selbst eine solche Ausfallhaftung für andere Unternehmen übernimmt.</w:t>
      </w:r>
    </w:p>
    <w:p>
      <w:r>
        <w:t xml:space="preserve">(2) Bei der Bewertung der Vorsorge nach Absatz 1 Satz 1 Nummer 1 und der technischen und finanziellen Mittel nach Absatz 1 Satz 1 Nummer 2 sind insbesondere zu berücksichtigen:</w:t>
      </w:r>
    </w:p>
    <w:p>
      <w:pPr>
        <w:ind w:left="420"/>
      </w:pPr>
      <w:r>
        <w:t xml:space="preserve">1. die Risiken, die Gefahren und die sonstigen für die Bewertung relevanten Informationen in Bezug auf das Gebiet, auf das sich der Antrag auf Zulassung eines Betriebsplans erstreckt; zu den sonstigen relevanten Informationen zählen auch die in § 45c Absatz 1 Satz 2 Nummer 3 des Wasserhaushaltsgesetzes genannten Kosten einer Verschlechterung des Zustandes der Meeresgewässer,</w:t>
      </w:r>
    </w:p>
    <w:p>
      <w:pPr>
        <w:ind w:left="420"/>
      </w:pPr>
      <w:r>
        <w:t xml:space="preserve">2. die Umweltgefahren für Meeres- und Küstengebiete, insbesondere für</w:t>
      </w:r>
    </w:p>
    <w:p>
      <w:pPr>
        <w:ind w:left="780"/>
      </w:pPr>
      <w:r>
        <w:t xml:space="preserve">a) Ökosysteme, die, wie Salzsümpfe, Salzwiesen oder Seegraswiesen, für die Anpassung an den Klimawandel und dessen Eindämmung eine wichtige Rolle spielen,</w:t>
      </w:r>
    </w:p>
    <w:p>
      <w:pPr>
        <w:ind w:left="780"/>
      </w:pPr>
      <w:r>
        <w:t xml:space="preserve">b) Meeresschutzgebiete, wie die besonderen Schutzgebiete im Sinne der Richtlinie 92/43/EWG des Rates vom 21. Mai 1992 zur Erhaltung der natürlichen Lebensräume sowie der wildlebenden Tiere und Pflanzen (ABl. L 206 vom 22.7.1992, S. 7), die zuletzt durch die Richtlinie 2013/17/EU (ABl. L 158 vom 10.6.2013, S. 193) geändert worden ist,</w:t>
      </w:r>
    </w:p>
    <w:p>
      <w:pPr>
        <w:ind w:left="780"/>
      </w:pPr>
      <w:r>
        <w:t xml:space="preserve">c) besondere Schutzgebiete im Sinne der Richtlinie 2009/147/EG des Europäischen Parlaments und des Rates vom 30. November 2009 über die Erhaltung der wildlebenden Vogelarten (ABl. L 20 vom 26.1.2010, S. 7), die zuletzt durch die Richtlinie 2013/17/EU (ABl. L 158 vom 10.6.2013, S. 193) geändert worden ist,</w:t>
      </w:r>
    </w:p>
    <w:p>
      <w:pPr>
        <w:ind w:left="780"/>
      </w:pPr>
      <w:r>
        <w:t xml:space="preserve">d) die geschützten Meeresgebiete, die von der Europäischen Union oder den betroffenen Mitgliedstaaten im Rahmen internationaler oder regionaler Übereinkünfte, denen sie als Vertragspartei angehört oder als Vertragsparteien angehören, vereinbart wurden, und</w:t>
      </w:r>
    </w:p>
    <w:p>
      <w:pPr>
        <w:ind w:left="780"/>
      </w:pPr>
      <w:r>
        <w:t xml:space="preserve">e) Nationalparks im Sinne von § 24 des Bundesnaturschutzgesetzes vom 29. Juli 2009 (BGBl. I S. 2542), das zuletzt durch Artikel 421 der Verordnung vom 31. August 2015 (BGBl. I S. 1474) geändert worden ist,</w:t>
      </w:r>
    </w:p>
    <w:p>
      <w:pPr>
        <w:ind w:left="420"/>
      </w:pPr>
      <w:r>
        <w:t xml:space="preserve">3. das jeweilige Stadium der Offshore-Erdöl- und -Erdgasaktivitäten und</w:t>
      </w:r>
    </w:p>
    <w:p>
      <w:pPr>
        <w:ind w:left="420"/>
      </w:pPr>
      <w:r>
        <w:t xml:space="preserve">4. im Hinblick auf Absatz 1 Satz 1 Nummer 2 darüber hinaus die Sicherheits- und Umweltschutzbilanz des Antragstellers, insbesondere auch in Bezug auf schwere Unfälle.</w:t>
      </w:r>
    </w:p>
    <w:p>
      <w:r>
        <w:rPr>
          <w:color w:val="555555"/>
          <w:sz w:val="17"/>
        </w:rPr>
        <w:t xml:space="preserve">Zitiervorschlag: § 41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