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OffshoreBergV — Betriebsanweisungen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zur Regelung wiederkehrender und für die Sicherheit bedeutsamer Betriebs- und Arbeitsvorgänge die für ihren sicheren und ordnungsgemäßen Ablauf erforderlichen Bedienungsanleitungen, Verhaltensregeln und Sicherheitsvorkehrungen als innerbetriebliche Anordnung in Betriebsanweisungen schriftlich festzulegen. Dies gilt insbesondere für</w:t>
      </w:r>
    </w:p>
    <w:p>
      <w:pPr>
        <w:ind w:left="420"/>
      </w:pPr>
      <w:r>
        <w:t xml:space="preserve">1. das Hochfahren und Absenken von beweglichen Plattformen an der Stelle ihres Einsatzes, das Bedienen, Warten und Überwachen der Hub- und Flutsysteme, der Verankerung und der sonstigen Vorrichtungen zur Gewährleistung der Standsicherheit und Lagestabilität der Plattformen,</w:t>
      </w:r>
    </w:p>
    <w:p>
      <w:pPr>
        <w:ind w:left="420"/>
      </w:pPr>
      <w:r>
        <w:t xml:space="preserve">2. das Begrenzen und Verteilen von Lasten auf den Plattformen, das Anlegen und Festmachen von Wasserfahrzeugen an den Plattformen sowie die Übernahme von Personen und Gütern auf die Plattformen,</w:t>
      </w:r>
    </w:p>
    <w:p>
      <w:pPr>
        <w:ind w:left="420"/>
      </w:pPr>
      <w:r>
        <w:t xml:space="preserve">3. das Landen und Starten von Hubschraubern sowie deren Sicherung während des Aufenthaltes auf Plattformen und das Betanken,</w:t>
      </w:r>
    </w:p>
    <w:p>
      <w:pPr>
        <w:ind w:left="420"/>
      </w:pPr>
      <w:r>
        <w:t xml:space="preserve">4. das Bedienen, Warten und Instandhalten von Kranen, Hebewerken der Bohranlagen, anderen kraftbetriebenen Hebezeugen, Flurförderzeugen, Lagerbehältern für brennbare oder wassergefährdende Flüssigkeiten, Dampfkesseln, Verdichtern und Druckbehältern,</w:t>
      </w:r>
    </w:p>
    <w:p>
      <w:pPr>
        <w:ind w:left="420"/>
      </w:pPr>
      <w:r>
        <w:t xml:space="preserve">5. das Warten und Instandsetzen von elektrischen Einrichtungen und elektrischen Betriebsmitteln sowie von Atemschutz- und Wiederbelebungsgeräten,</w:t>
      </w:r>
    </w:p>
    <w:p>
      <w:pPr>
        <w:ind w:left="420"/>
      </w:pPr>
      <w:r>
        <w:t xml:space="preserve">6. Gestänge- und Verrohrungsarbeiten sowie Zementierarbeiten an Bohrungen,</w:t>
      </w:r>
    </w:p>
    <w:p>
      <w:pPr>
        <w:ind w:left="420"/>
      </w:pPr>
      <w:r>
        <w:t xml:space="preserve">7. Arbeiten zur Druckbehandlung sowie zum Testen und Freifördern von Bohrungen,</w:t>
      </w:r>
    </w:p>
    <w:p>
      <w:pPr>
        <w:ind w:left="420"/>
      </w:pPr>
      <w:r>
        <w:t xml:space="preserve">8. den Umgang mit Sprengstoffen und Zündmitteln, mit Gefahrstoffen sowie radioaktiven Stoffen und ionisierenden Strahlen und</w:t>
      </w:r>
    </w:p>
    <w:p>
      <w:pPr>
        <w:ind w:left="420"/>
      </w:pPr>
      <w:r>
        <w:t xml:space="preserve">9. den Umgang mit Sammelbehältern für ölhaltige Abwässer.</w:t>
      </w:r>
    </w:p>
    <w:p>
      <w:r>
        <w:t xml:space="preserve">(2) Der Unternehmer hat den Beschäftigten die Betriebsanweisungen, soweit sie davon betroffen sind, in der Verkehrssprache und erforderlichenfalls in weiteren Sprachen auszuhändigen und die Beschäftigten erforderlichenfalls auf ihre Aufgaben bezogen zu unterweisen. Er hat die Betriebsanweisungen darüber hinaus an geeigneter Stelle im Betrieb auszuhängen oder zur Einsicht auszulegen.</w:t>
      </w:r>
    </w:p>
    <w:p>
      <w:r>
        <w:rPr>
          <w:color w:val="555555"/>
          <w:sz w:val="17"/>
        </w:rPr>
        <w:t xml:space="preserve">Zitiervorschlag: § 37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