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OffshoreBergV — Hilfsbohrungen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Bei Hilfsbohrungen hat der Unternehmer dafür zu sorgen, dass die durch die Bohrung eingeleiteten Stoffe nicht in andere als in die dafür bestimmten Gebirgsschichten gelangen können.</w:t>
      </w:r>
    </w:p>
    <w:p>
      <w:r>
        <w:t xml:space="preserve">(2) Auf Hilfsbohrungen ist § 32 Absatz 1 bis 3 entsprechend anzuwenden. Stehen Hilfsbohrungen unter innerem Druck, so hat der Unternehmer dafür zu sorgen, dass</w:t>
      </w:r>
    </w:p>
    <w:p>
      <w:pPr>
        <w:ind w:left="420"/>
      </w:pPr>
      <w:r>
        <w:t xml:space="preserve">1. der Bohrlochkopf mit einer Vorrichtung ausgerüstet ist, die ein Zurückfließen der in die Bohrung eingeleiteten Stoffe verhindert oder die Bohrung selbsttätig schließt, wenn der betriebliche Mindestdruck in der ankommenden Rohrleitung oder in der der Bohrung unmittelbar vorgeschalteten Anlage unterschritten wird,</w:t>
      </w:r>
    </w:p>
    <w:p>
      <w:pPr>
        <w:ind w:left="420"/>
      </w:pPr>
      <w:r>
        <w:t xml:space="preserve">2. der Förderstrang der Bohrungen durch Einbau eines Stopfens oder einer anderen Vorrichtung abgesperrt werden kann und</w:t>
      </w:r>
    </w:p>
    <w:p>
      <w:pPr>
        <w:ind w:left="420"/>
      </w:pPr>
      <w:r>
        <w:t xml:space="preserve">3. der Förderstrang mit einem Rückschlagventil oder mit einer selbsttätig wirkenden Absperreinrichtung ausrüstet ist, die den Anforderung nach § 33 Absatz 6 Satz 2 genügt, wenn bei der Bohrung in größerem Umfang Stoffe eingeleitet werden, durch die die Beschäftigten gefährdet werden können.</w:t>
      </w:r>
    </w:p>
    <w:p>
      <w:r>
        <w:t xml:space="preserve">(3) Bei Anwendung von Wärmeverfahren zur Erdölgewinnung oder bei sonstigen Verfahren zur thermischen Behandlung von Lagerstätten hat der Unternehmer dafür zu sorgen, dass Wärmespannungen im Förderstrang und am Bohrlochkopf beherrscht werden.</w:t>
      </w:r>
    </w:p>
    <w:p>
      <w:r>
        <w:t xml:space="preserve">(4) Werden durch Hilfsbohrungen Stoffe eingeleitet, die besonders korrosiv sind, hat der Unternehmer den Ringraum gegen den Förderstrang abzusperren und mit einem geeigneten Schutzmedium vollständig aufzufüllen.</w:t>
      </w:r>
    </w:p>
    <w:p>
      <w:r>
        <w:rPr>
          <w:color w:val="555555"/>
          <w:sz w:val="17"/>
        </w:rPr>
        <w:t xml:space="preserve">Zitiervorschlag: § 34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