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OffshoreBergV — Überwachung des Bohrlochverlaufs und Berichtspflicht</w:t>
      </w:r>
    </w:p>
    <w:p>
      <w:r>
        <w:rPr>
          <w:color w:val="555555"/>
          <w:sz w:val="18"/>
        </w:rPr>
        <w:t xml:space="preserve">Offshore-Bergverordnung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hat bei Bohrungen</w:t>
      </w:r>
    </w:p>
    <w:p>
      <w:pPr>
        <w:ind w:left="420"/>
      </w:pPr>
      <w:r>
        <w:t xml:space="preserve">1. den Bohrlochverlauf rechtzeitig vor dem Erreichen möglicher Erdöl- oder Erdgaslagerstätten sowie nach dem Erreichen der Endteufe zu vermessen,</w:t>
      </w:r>
    </w:p>
    <w:p>
      <w:pPr>
        <w:ind w:left="420"/>
      </w:pPr>
      <w:r>
        <w:t xml:space="preserve">2. den planmäßigen Verlauf der Bohrungen durch Richtungs- und Neigungsmessungen zu überwachen und</w:t>
      </w:r>
    </w:p>
    <w:p>
      <w:pPr>
        <w:ind w:left="420"/>
      </w:pPr>
      <w:r>
        <w:t xml:space="preserve">3. Art, Häufigkeit und Abstand der Messungen nach der Art der Bohrung und der geplanten Ablenkung festzulegen; dabei sind die jeweiligen geologischen und sonstigen betrieblichen Verhältnisse zu berücksichtigen.</w:t>
      </w:r>
    </w:p>
    <w:p>
      <w:r>
        <w:t xml:space="preserve">(2) Der Unternehmer hat</w:t>
      </w:r>
    </w:p>
    <w:p>
      <w:pPr>
        <w:ind w:left="420"/>
      </w:pPr>
      <w:r>
        <w:t xml:space="preserve">1. die durchbohrten Gebirgsschichten geologisch zu bestimmen; dabei sind wasserführende Schichten als solche zu erfassen,</w:t>
      </w:r>
    </w:p>
    <w:p>
      <w:pPr>
        <w:ind w:left="420"/>
      </w:pPr>
      <w:r>
        <w:t xml:space="preserve">2. Proben der erschlossenen Gebirgsschichten mindestens bis zur Beendigung der Bohrungsarbeiten aufzubewahren,</w:t>
      </w:r>
    </w:p>
    <w:p>
      <w:pPr>
        <w:ind w:left="420"/>
      </w:pPr>
      <w:r>
        <w:t xml:space="preserve">3. dafür zu sorgen, dass Bohrungen nutzbare Lagerstätten und Wasserhorizonte nicht nachteilig beeinflussen,</w:t>
      </w:r>
    </w:p>
    <w:p>
      <w:pPr>
        <w:ind w:left="420"/>
      </w:pPr>
      <w:r>
        <w:t xml:space="preserve">4. angebohrte nutzbare Lagerstätten oder Wasserhorizonte sowie deren hangende und liegende Schichten zu erkunden, wenn die Sicherheit oder der Lagerstättenschutz es erfordern, und</w:t>
      </w:r>
    </w:p>
    <w:p>
      <w:pPr>
        <w:ind w:left="420"/>
      </w:pPr>
      <w:r>
        <w:t xml:space="preserve">5. die Ergebnisse der Erkundung der zuständigen Behörde mitzuteilen.</w:t>
      </w:r>
    </w:p>
    <w:p>
      <w:r>
        <w:t xml:space="preserve">(3) Auf Bohrungen, die nicht der Aufsuchung oder Gewinnung von Erdöl oder Erdgas dienen, ist § 49 Absatz 3 und 4 entsprechend anzuwenden.</w:t>
      </w:r>
    </w:p>
    <w:p>
      <w:r>
        <w:rPr>
          <w:color w:val="555555"/>
          <w:sz w:val="17"/>
        </w:rPr>
        <w:t xml:space="preserve">Zitiervorschlag: § 32 OffshoreBergV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https://recht.nulegal.eu/gesetze/OffshoreBergV/32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