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OffshoreBergV — Schutz von Unterwasser-Leitungsinfrastruktur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dafür zu sorgen, dass durch seine Tätigkeiten und Einrichtungen Kabel und Rohrleitungen, die auf oder im Meeresgrund verlegt worden sind (Unterwasser-Leitungsinfrastruktur), nicht gefährdet werden und die Durchführung notwendiger Instandsetzungsarbeiten an Unterwasser-Leitungsinfrastruktur gewährleistet ist. In einem Schutzbereich von einer Seemeile beiderseits einer auf den Seekarten eingetragenen oder anderweitig bekannten Trasse einer Unterwasser-Leitungsinfrastruktur dürfen Einrichtungen und Tätigkeiten nur nach Anhörung des Betreibers der Unterwasser-Leitungsinfrastruktur zugelassen werden; für die Errichtung von Plattformen gilt ein Schutzbereich von zwei Seemeilen. Satz 2 ist nicht auf Tätigkeiten anzuwenden, die ihrer Natur nach nicht zu Gefährdungen von Unterwasser-Leitungsinfrastruktur führen können.</w:t>
      </w:r>
    </w:p>
    <w:p>
      <w:r>
        <w:t xml:space="preserve">(2) Soll eine vorhandene Unterwasser-Leitungsinfrastruktur von einer neu zu verlegenden Unterwasser-Leitungsinfrastruktur gekreuzt werden, hat der Unternehmer den Betreiber der bestehenden Unterwasser-Leitungsinfrastruktur hierüber frühzeitig in Kenntnis zu setzen und vor der Aufnahme der Arbeiten das Einverständnis der Eigentümer der bereits vorhandenen Unterwasser-Leitungsinfrastruktur herbeizuführen.</w:t>
      </w:r>
    </w:p>
    <w:p>
      <w:r>
        <w:rPr>
          <w:color w:val="555555"/>
          <w:sz w:val="17"/>
        </w:rPr>
        <w:t xml:space="preserve">Zitiervorschlag: § 15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