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OffshoreBergV — Sicherheitszonen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Unternehmer hat mit Beginn der Errichtung der Plattform eine Sicherheitszone um die Plattform einzurichten und zu überwachen. Die zuständige Behörde kann anordnen, dass die Sicherheitszone über den in § 2 Absatz 15 festgelegten Bereich hinaus auszudehnen ist, sofern dies zur Gewährleistung der Sicherheit der Offshore-Erdöl- und -Erdgasaktivitäten erforderlich ist und durch allgemein anerkannte internationale Normen gestattet oder durch die Internationale Seeschifffahrts-Organisation empfohlen wird.</w:t>
      </w:r>
    </w:p>
    <w:p>
      <w:r>
        <w:t xml:space="preserve">(2) Es ist verboten, mit einem Wasserfahrzeug in die Sicherheitszone einzufahren und sich mit einem Wasserfahrzeug darin aufzuhalten. Abweichend von Satz 1 ist in den folgenden Fällen die Einfahrt in die Sicherheitszone und der Aufenthalt in ihr erlaubt:</w:t>
      </w:r>
    </w:p>
    <w:p>
      <w:pPr>
        <w:ind w:left="420"/>
      </w:pPr>
      <w:r>
        <w:t xml:space="preserve">1. bei der Verlegung, der Inspektion, der Prüfung, der Instandsetzung, der Instandhaltung, dem Umbau, der Erneuerung oder Entfernung von Unterseekabeln oder -rohrleitungen in der Sicherheitszone oder in ihrer Nähe,</w:t>
      </w:r>
    </w:p>
    <w:p>
      <w:pPr>
        <w:ind w:left="420"/>
      </w:pPr>
      <w:r>
        <w:t xml:space="preserve">2. bei der Erbringung von Diensten für eine Plattform innerhalb der Sicherheitszone oder bei der Beförderung von Personen oder Gütern von und zu einer Plattform,</w:t>
      </w:r>
    </w:p>
    <w:p>
      <w:pPr>
        <w:ind w:left="420"/>
      </w:pPr>
      <w:r>
        <w:t xml:space="preserve">3. bei der Inspektion einer Plattform oder Einrichtung, die sich in der Sicherheitszone befindet, durch eine zuständige Behörde,</w:t>
      </w:r>
    </w:p>
    <w:p>
      <w:pPr>
        <w:ind w:left="420"/>
      </w:pPr>
      <w:r>
        <w:t xml:space="preserve">4. bei Rettungsmaßnahmen,</w:t>
      </w:r>
    </w:p>
    <w:p>
      <w:pPr>
        <w:ind w:left="420"/>
      </w:pPr>
      <w:r>
        <w:t xml:space="preserve">5. bei Schlechtwetter,</w:t>
      </w:r>
    </w:p>
    <w:p>
      <w:pPr>
        <w:ind w:left="420"/>
      </w:pPr>
      <w:r>
        <w:t xml:space="preserve">6. bei Seenot oder</w:t>
      </w:r>
    </w:p>
    <w:p>
      <w:pPr>
        <w:ind w:left="420"/>
      </w:pPr>
      <w:r>
        <w:t xml:space="preserve">7. bei Zustimmung des Unternehmers oder der zuständigen Behörde.</w:t>
      </w:r>
    </w:p>
    <w:p>
      <w:r>
        <w:t xml:space="preserve">(3) Sicherheitszonen, die nach Absatz 1 eingerichtet werden, hat der Unternehmer dem Bundesamt für Seeschifffahrt und Hydrographie zur Eintragung in die Seekarten unverzüglich mitzuteilen.</w:t>
      </w:r>
    </w:p>
    <w:p>
      <w:r>
        <w:rPr>
          <w:color w:val="555555"/>
          <w:sz w:val="17"/>
        </w:rPr>
        <w:t xml:space="preserve">Zitiervorschlag: § 13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