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OffshoreBergV — Geltungsbereich</w:t>
      </w:r>
    </w:p>
    <w:p>
      <w:r>
        <w:rPr>
          <w:color w:val="555555"/>
          <w:sz w:val="18"/>
        </w:rPr>
        <w:t xml:space="preserve">Offshore-Bergverordnung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ist für die Aufsuchung, Gewinnung und Aufbereitung von Bodenschätzen im Gebiet der Küstengewässer und des Festlandsockels der Bundesrepublik Deutschland (Offshore-Bereich) und die damit verbundenen Tätigkeiten und Einrichtungen sowie, soweit es in dieser Verordnung bestimmt ist, für Transit-Rohrleitungen anzuwenden. Sie ist nicht anzuwenden auf Horizontalbohrungen, die vom Festland aus vorgenommen werden und unter ein Küstengewässer reichen.</w:t>
      </w:r>
    </w:p>
    <w:p>
      <w:r>
        <w:t xml:space="preserve">(2) Die Verordnung ist zudem entsprechend anzuwenden, soweit dies in § 69 ausdrücklich bestimmt ist,</w:t>
      </w:r>
    </w:p>
    <w:p>
      <w:pPr>
        <w:ind w:left="420"/>
      </w:pPr>
      <w:r>
        <w:t xml:space="preserve">1. für das Untersuchen des Untergrundes auf seine Eignung zur Errichtung von Untergrundspeichern im Offshore-Bereich und</w:t>
      </w:r>
    </w:p>
    <w:p>
      <w:pPr>
        <w:ind w:left="420"/>
      </w:pPr>
      <w:r>
        <w:t xml:space="preserve">2. für das Errichten und Betreiben von Untergrundspeichern im Offshore-Bereich.</w:t>
      </w:r>
    </w:p>
    <w:p>
      <w:r>
        <w:rPr>
          <w:color w:val="555555"/>
          <w:sz w:val="17"/>
        </w:rPr>
        <w:t xml:space="preserve">Zitiervorschlag: § 1 OffshoreBergV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https://recht.nulegal.eu/gesetze/OffshoreBergV/1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