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Offshore-ArbZV — Arbeitszeit</w:t>
      </w:r>
    </w:p>
    <w:p>
      <w:r>
        <w:rPr>
          <w:color w:val="555555"/>
          <w:sz w:val="18"/>
        </w:rPr>
        <w:t xml:space="preserve">Offshore-Arbeitszeitverordnung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tägliche Arbeitszeit darf abweichend von den §§ 3, 6 Absatz 2 und § 11 Absatz 2 des Arbeitszeitgesetzes auf bis zu zwölf Stunden verlängert werden.</w:t>
      </w:r>
    </w:p>
    <w:p>
      <w:r>
        <w:t xml:space="preserve">(2) Unterfallen die an einem Tag geleisteten Tätigkeiten nicht ausschließlich dem Geltungsbereich dieser Verordnung, darf die Gesamtarbeitszeit die nach Absatz 1 zulässige Höchstarbeitszeit nicht überschreiten.</w:t>
      </w:r>
    </w:p>
    <w:p>
      <w:r>
        <w:rPr>
          <w:color w:val="555555"/>
          <w:sz w:val="17"/>
        </w:rPr>
        <w:t xml:space="preserve">Zitiervorschlag: § 3 Offshore-ArbZV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https://recht.nulegal.eu/gesetze/Offshore-ArbZV/3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