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Offshore-ArbZV — Bewilligung durch die Aufsichtsbehörde</w:t>
      </w:r>
    </w:p>
    <w:p>
      <w:r>
        <w:rPr>
          <w:color w:val="555555"/>
          <w:sz w:val="18"/>
        </w:rPr>
        <w:t xml:space="preserve">Offshore-Arbeitszeitverordnung</w:t>
      </w:r>
    </w:p>
    <w:p>
      <w:r>
        <w:rPr>
          <w:color w:val="555555"/>
          <w:sz w:val="18"/>
        </w:rPr>
        <w:t xml:space="preserve">Stand: 10.06.2019 (konsolidierte Textfassung, kein amtliches Inkrafttretensdatum)</w:t>
      </w:r>
    </w:p>
    <w:p>
      <w:r>
        <w:t xml:space="preserve">Die Aufsichtsbehörde kann auf Antrag im Einzelfall weitergehende Ausnahmen zulassen, soweit sie auf Grund besonderer Umstände erforderlich werden, und die zur Sicherheit und zum Schutz der Gesundheit der Beschäftigten erforderlichen Maßnahmen bestimmen.</w:t>
      </w:r>
    </w:p>
    <w:p>
      <w:r>
        <w:rPr>
          <w:color w:val="555555"/>
          <w:sz w:val="17"/>
        </w:rPr>
        <w:t xml:space="preserve">Zitiervorschlag: § 16 Offshore-ArbZV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https://recht.nulegal.eu/gesetze/Offshore-ArbZV/16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